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none" w:color="auto" w:sz="0"/>
          <w:left w:val="none" w:color="auto" w:sz="0"/>
          <w:bottom w:val="none" w:color="auto" w:sz="0"/>
          <w:right w:val="none" w:color="auto" w:sz="0"/>
          <w:insideH w:val="none" w:color="auto" w:sz="0"/>
          <w:insideV w:val="none" w:color="auto" w:sz="0"/>
        </w:tblBorders>
      </w:tblPr>
      <w:tblGrid>
        <w:gridCol w:w="9360"/>
      </w:tblGrid>
      <w:tr>
        <w:tc>
          <w:tcPr>
            <w:tcBorders>
              <w:top w:val="none" w:color="auto" w:sz="0"/>
              <w:left w:val="none" w:color="auto" w:sz="0"/>
              <w:bottom w:val="none" w:color="auto" w:sz="0"/>
              <w:right w:val="none" w:color="auto" w:sz="0"/>
            </w:tcBorders>
            <w:shd w:fill="2A2320" w:color="auto" w:val="clear"/>
            <w:tcMar>
              <w:top w:type="dxa" w:w="160"/>
              <w:left w:type="dxa" w:w="260"/>
              <w:bottom w:type="dxa" w:w="40"/>
              <w:right w:type="dxa" w:w="260"/>
            </w:tcMar>
          </w:tcPr>
          <w:p>
            <w:r>
              <w:rPr>
                <w:rFonts w:ascii="Montserrat" w:cs="Montserrat" w:eastAsia="Montserrat" w:hAnsi="Montserrat"/>
                <w:b/>
                <w:bCs/>
                <w:caps/>
                <w:color w:val="E0A020"/>
                <w:spacing w:val="30"/>
                <w:sz w:val="20"/>
                <w:szCs w:val="20"/>
              </w:rPr>
              <w:t xml:space="preserve">STICHTING HEARTS FOR CHANGE</w:t>
            </w:r>
          </w:p>
        </w:tc>
      </w:tr>
      <w:tr>
        <w:tc>
          <w:tcPr>
            <w:tcBorders>
              <w:top w:val="none" w:color="auto" w:sz="0"/>
              <w:left w:val="none" w:color="auto" w:sz="0"/>
              <w:bottom w:val="none" w:color="auto" w:sz="0"/>
              <w:right w:val="none" w:color="auto" w:sz="0"/>
            </w:tcBorders>
            <w:shd w:fill="2A2320" w:color="auto" w:val="clear"/>
            <w:tcMar>
              <w:top w:type="dxa" w:w="0"/>
              <w:left w:type="dxa" w:w="260"/>
              <w:bottom w:type="dxa" w:w="40"/>
              <w:right w:type="dxa" w:w="260"/>
            </w:tcMar>
          </w:tcPr>
          <w:p>
            <w:r>
              <w:rPr>
                <w:rFonts w:ascii="Montserrat" w:cs="Montserrat" w:eastAsia="Montserrat" w:hAnsi="Montserrat"/>
                <w:b/>
                <w:bCs/>
                <w:caps w:val="false"/>
                <w:color w:val="FFFFFF"/>
                <w:sz w:val="36"/>
                <w:szCs w:val="36"/>
              </w:rPr>
              <w:t xml:space="preserve">Policy Plan</w:t>
            </w:r>
          </w:p>
        </w:tc>
      </w:tr>
      <w:tr>
        <w:tc>
          <w:tcPr>
            <w:tcBorders>
              <w:top w:val="none" w:color="auto" w:sz="0"/>
              <w:left w:val="none" w:color="auto" w:sz="0"/>
              <w:bottom w:val="none" w:color="auto" w:sz="0"/>
              <w:right w:val="none" w:color="auto" w:sz="0"/>
            </w:tcBorders>
            <w:shd w:fill="2A2320" w:color="auto" w:val="clear"/>
            <w:tcMar>
              <w:top w:type="dxa" w:w="0"/>
              <w:left w:type="dxa" w:w="260"/>
              <w:bottom w:type="dxa" w:w="40"/>
              <w:right w:type="dxa" w:w="260"/>
            </w:tcMar>
          </w:tcPr>
          <w:p>
            <w:r>
              <w:rPr>
                <w:rFonts w:ascii="Montserrat" w:cs="Montserrat" w:eastAsia="Montserrat" w:hAnsi="Montserrat"/>
                <w:b w:val="false"/>
                <w:bCs w:val="false"/>
                <w:caps w:val="false"/>
                <w:color w:val="E9DDCB"/>
                <w:sz w:val="18"/>
                <w:szCs w:val="18"/>
              </w:rPr>
              <w:t xml:space="preserve">Beleidsplan — Stichting Hearts for Change</w:t>
            </w:r>
          </w:p>
        </w:tc>
      </w:tr>
      <w:tr>
        <w:tc>
          <w:tcPr>
            <w:tcBorders>
              <w:top w:val="none" w:color="auto" w:sz="0"/>
              <w:left w:val="none" w:color="auto" w:sz="0"/>
              <w:bottom w:val="none" w:color="auto" w:sz="0"/>
              <w:right w:val="none" w:color="auto" w:sz="0"/>
            </w:tcBorders>
            <w:shd w:fill="2A2320" w:color="auto" w:val="clear"/>
            <w:tcMar>
              <w:top w:type="dxa" w:w="0"/>
              <w:left w:type="dxa" w:w="260"/>
              <w:bottom w:type="dxa" w:w="160"/>
              <w:right w:type="dxa" w:w="260"/>
            </w:tcMar>
          </w:tcPr>
          <w:p>
            <w:r>
              <w:rPr>
                <w:rFonts w:ascii="Montserrat" w:cs="Montserrat" w:eastAsia="Montserrat" w:hAnsi="Montserrat"/>
                <w:b/>
                <w:bCs/>
                <w:caps w:val="false"/>
                <w:color w:val="E9DDCB"/>
                <w:sz w:val="17"/>
                <w:szCs w:val="17"/>
              </w:rPr>
              <w:t xml:space="preserve">Policy period: 2026–2028</w:t>
            </w:r>
          </w:p>
        </w:tc>
      </w:tr>
    </w:tbl>
    <w:p>
      <w:pPr>
        <w:spacing w:after="140"/>
      </w:pPr>
    </w:p>
    <w:p>
      <w:pPr>
        <w:pBdr>
          <w:bottom w:val="single" w:color="E01010" w:sz="6"/>
        </w:pBdr>
        <w:spacing w:after="100" w:before="260"/>
      </w:pPr>
      <w:r>
        <w:rPr>
          <w:rFonts w:ascii="Montserrat" w:cs="Montserrat" w:eastAsia="Montserrat" w:hAnsi="Montserrat"/>
          <w:b/>
          <w:bCs/>
          <w:caps/>
          <w:color w:val="E01010"/>
          <w:spacing w:val="10"/>
          <w:sz w:val="24"/>
          <w:szCs w:val="24"/>
        </w:rPr>
        <w:t xml:space="preserve">1. General information about the foundation</w:t>
      </w:r>
    </w:p>
    <w:tbl>
      <w:tblPr>
        <w:tblW w:type="pct" w:w="100%"/>
        <w:tblBorders>
          <w:top w:val="single" w:color="D8CFC4" w:sz="2"/>
          <w:left w:val="single" w:color="D8CFC4" w:sz="2"/>
          <w:bottom w:val="single" w:color="D8CFC4" w:sz="2"/>
          <w:right w:val="single" w:color="D8CFC4" w:sz="2"/>
          <w:insideH w:val="single" w:color="D8CFC4" w:sz="2"/>
          <w:insideV w:val="single" w:color="D8CFC4" w:sz="2"/>
        </w:tblBorders>
      </w:tblPr>
      <w:tblGrid>
        <w:gridCol w:w="2600"/>
        <w:gridCol w:w="6760"/>
      </w:tblGrid>
      <w:tr>
        <w:tc>
          <w:tcPr>
            <w:tcW w:type="dxa" w:w="2600"/>
            <w:tcBorders>
              <w:top w:val="single" w:color="D8CFC4" w:sz="2"/>
              <w:left w:val="single" w:color="D8CFC4" w:sz="2"/>
              <w:bottom w:val="single" w:color="D8CFC4" w:sz="2"/>
              <w:right w:val="single" w:color="D8CFC4" w:sz="2"/>
            </w:tcBorders>
            <w:shd w:fill="FDF6EE" w:color="auto" w:val="clear"/>
            <w:tcMar>
              <w:top w:type="dxa" w:w="60"/>
              <w:left w:type="dxa" w:w="120"/>
              <w:bottom w:type="dxa" w:w="60"/>
              <w:right w:type="dxa" w:w="120"/>
            </w:tcMar>
          </w:tcPr>
          <w:p>
            <w:r>
              <w:rPr>
                <w:rFonts w:ascii="Montserrat" w:cs="Montserrat" w:eastAsia="Montserrat" w:hAnsi="Montserrat"/>
                <w:b/>
                <w:bCs/>
                <w:color w:val="905030"/>
                <w:sz w:val="19"/>
                <w:szCs w:val="19"/>
              </w:rPr>
              <w:t xml:space="preserve">Name</w:t>
            </w:r>
          </w:p>
        </w:tc>
        <w:tc>
          <w:tcPr>
            <w:tcW w:type="dxa" w:w="6760"/>
            <w:tcBorders>
              <w:top w:val="single" w:color="D8CFC4" w:sz="2"/>
              <w:left w:val="single" w:color="D8CFC4" w:sz="2"/>
              <w:bottom w:val="single" w:color="D8CFC4" w:sz="2"/>
              <w:right w:val="single" w:color="D8CFC4" w:sz="2"/>
            </w:tcBorders>
            <w:tcMar>
              <w:top w:type="dxa" w:w="60"/>
              <w:left w:type="dxa" w:w="120"/>
              <w:bottom w:type="dxa" w:w="60"/>
              <w:right w:type="dxa" w:w="120"/>
            </w:tcMar>
          </w:tcPr>
          <w:p>
            <w:r>
              <w:rPr>
                <w:rFonts w:ascii="Georgia" w:cs="Georgia" w:eastAsia="Georgia" w:hAnsi="Georgia"/>
                <w:color w:val="2A2320"/>
                <w:sz w:val="20"/>
                <w:szCs w:val="20"/>
              </w:rPr>
              <w:t xml:space="preserve">Stichting Hearts for Change</w:t>
            </w:r>
          </w:p>
        </w:tc>
      </w:tr>
      <w:tr>
        <w:tc>
          <w:tcPr>
            <w:tcW w:type="dxa" w:w="2600"/>
            <w:tcBorders>
              <w:top w:val="single" w:color="D8CFC4" w:sz="2"/>
              <w:left w:val="single" w:color="D8CFC4" w:sz="2"/>
              <w:bottom w:val="single" w:color="D8CFC4" w:sz="2"/>
              <w:right w:val="single" w:color="D8CFC4" w:sz="2"/>
            </w:tcBorders>
            <w:shd w:fill="FDF6EE" w:color="auto" w:val="clear"/>
            <w:tcMar>
              <w:top w:type="dxa" w:w="60"/>
              <w:left w:type="dxa" w:w="120"/>
              <w:bottom w:type="dxa" w:w="60"/>
              <w:right w:type="dxa" w:w="120"/>
            </w:tcMar>
          </w:tcPr>
          <w:p>
            <w:r>
              <w:rPr>
                <w:rFonts w:ascii="Montserrat" w:cs="Montserrat" w:eastAsia="Montserrat" w:hAnsi="Montserrat"/>
                <w:b/>
                <w:bCs/>
                <w:color w:val="905030"/>
                <w:sz w:val="19"/>
                <w:szCs w:val="19"/>
              </w:rPr>
              <w:t xml:space="preserve">Legal form</w:t>
            </w:r>
          </w:p>
        </w:tc>
        <w:tc>
          <w:tcPr>
            <w:tcW w:type="dxa" w:w="6760"/>
            <w:tcBorders>
              <w:top w:val="single" w:color="D8CFC4" w:sz="2"/>
              <w:left w:val="single" w:color="D8CFC4" w:sz="2"/>
              <w:bottom w:val="single" w:color="D8CFC4" w:sz="2"/>
              <w:right w:val="single" w:color="D8CFC4" w:sz="2"/>
            </w:tcBorders>
            <w:tcMar>
              <w:top w:type="dxa" w:w="60"/>
              <w:left w:type="dxa" w:w="120"/>
              <w:bottom w:type="dxa" w:w="60"/>
              <w:right w:type="dxa" w:w="120"/>
            </w:tcMar>
          </w:tcPr>
          <w:p>
            <w:r>
              <w:rPr>
                <w:rFonts w:ascii="Georgia" w:cs="Georgia" w:eastAsia="Georgia" w:hAnsi="Georgia"/>
                <w:color w:val="2A2320"/>
                <w:sz w:val="20"/>
                <w:szCs w:val="20"/>
              </w:rPr>
              <w:t xml:space="preserve">Stichting (foundation)</w:t>
            </w:r>
          </w:p>
        </w:tc>
      </w:tr>
      <w:tr>
        <w:tc>
          <w:tcPr>
            <w:tcW w:type="dxa" w:w="2600"/>
            <w:tcBorders>
              <w:top w:val="single" w:color="D8CFC4" w:sz="2"/>
              <w:left w:val="single" w:color="D8CFC4" w:sz="2"/>
              <w:bottom w:val="single" w:color="D8CFC4" w:sz="2"/>
              <w:right w:val="single" w:color="D8CFC4" w:sz="2"/>
            </w:tcBorders>
            <w:shd w:fill="FDF6EE" w:color="auto" w:val="clear"/>
            <w:tcMar>
              <w:top w:type="dxa" w:w="60"/>
              <w:left w:type="dxa" w:w="120"/>
              <w:bottom w:type="dxa" w:w="60"/>
              <w:right w:type="dxa" w:w="120"/>
            </w:tcMar>
          </w:tcPr>
          <w:p>
            <w:r>
              <w:rPr>
                <w:rFonts w:ascii="Montserrat" w:cs="Montserrat" w:eastAsia="Montserrat" w:hAnsi="Montserrat"/>
                <w:b/>
                <w:bCs/>
                <w:color w:val="905030"/>
                <w:sz w:val="19"/>
                <w:szCs w:val="19"/>
              </w:rPr>
              <w:t xml:space="preserve">Seat</w:t>
            </w:r>
          </w:p>
        </w:tc>
        <w:tc>
          <w:tcPr>
            <w:tcW w:type="dxa" w:w="6760"/>
            <w:tcBorders>
              <w:top w:val="single" w:color="D8CFC4" w:sz="2"/>
              <w:left w:val="single" w:color="D8CFC4" w:sz="2"/>
              <w:bottom w:val="single" w:color="D8CFC4" w:sz="2"/>
              <w:right w:val="single" w:color="D8CFC4" w:sz="2"/>
            </w:tcBorders>
            <w:tcMar>
              <w:top w:type="dxa" w:w="60"/>
              <w:left w:type="dxa" w:w="120"/>
              <w:bottom w:type="dxa" w:w="60"/>
              <w:right w:type="dxa" w:w="120"/>
            </w:tcMar>
          </w:tcPr>
          <w:p>
            <w:r>
              <w:rPr>
                <w:rFonts w:ascii="Georgia" w:cs="Georgia" w:eastAsia="Georgia" w:hAnsi="Georgia"/>
                <w:color w:val="2A2320"/>
                <w:sz w:val="20"/>
                <w:szCs w:val="20"/>
              </w:rPr>
              <w:t xml:space="preserve">Amsterdam, the Netherlands</w:t>
            </w:r>
          </w:p>
        </w:tc>
      </w:tr>
      <w:tr>
        <w:tc>
          <w:tcPr>
            <w:tcW w:type="dxa" w:w="2600"/>
            <w:tcBorders>
              <w:top w:val="single" w:color="D8CFC4" w:sz="2"/>
              <w:left w:val="single" w:color="D8CFC4" w:sz="2"/>
              <w:bottom w:val="single" w:color="D8CFC4" w:sz="2"/>
              <w:right w:val="single" w:color="D8CFC4" w:sz="2"/>
            </w:tcBorders>
            <w:shd w:fill="FDF6EE" w:color="auto" w:val="clear"/>
            <w:tcMar>
              <w:top w:type="dxa" w:w="60"/>
              <w:left w:type="dxa" w:w="120"/>
              <w:bottom w:type="dxa" w:w="60"/>
              <w:right w:type="dxa" w:w="120"/>
            </w:tcMar>
          </w:tcPr>
          <w:p>
            <w:r>
              <w:rPr>
                <w:rFonts w:ascii="Montserrat" w:cs="Montserrat" w:eastAsia="Montserrat" w:hAnsi="Montserrat"/>
                <w:b/>
                <w:bCs/>
                <w:color w:val="905030"/>
                <w:sz w:val="19"/>
                <w:szCs w:val="19"/>
              </w:rPr>
              <w:t xml:space="preserve">RSIN</w:t>
            </w:r>
          </w:p>
        </w:tc>
        <w:tc>
          <w:tcPr>
            <w:tcW w:type="dxa" w:w="6760"/>
            <w:tcBorders>
              <w:top w:val="single" w:color="D8CFC4" w:sz="2"/>
              <w:left w:val="single" w:color="D8CFC4" w:sz="2"/>
              <w:bottom w:val="single" w:color="D8CFC4" w:sz="2"/>
              <w:right w:val="single" w:color="D8CFC4" w:sz="2"/>
            </w:tcBorders>
            <w:tcMar>
              <w:top w:type="dxa" w:w="60"/>
              <w:left w:type="dxa" w:w="120"/>
              <w:bottom w:type="dxa" w:w="60"/>
              <w:right w:type="dxa" w:w="120"/>
            </w:tcMar>
          </w:tcPr>
          <w:p>
            <w:r>
              <w:rPr>
                <w:rFonts w:ascii="Georgia" w:cs="Georgia" w:eastAsia="Georgia" w:hAnsi="Georgia"/>
                <w:color w:val="2A2320"/>
                <w:sz w:val="20"/>
                <w:szCs w:val="20"/>
              </w:rPr>
              <w:t xml:space="preserve">868702778</w:t>
            </w:r>
          </w:p>
        </w:tc>
      </w:tr>
      <w:tr>
        <w:tc>
          <w:tcPr>
            <w:tcW w:type="dxa" w:w="2600"/>
            <w:tcBorders>
              <w:top w:val="single" w:color="D8CFC4" w:sz="2"/>
              <w:left w:val="single" w:color="D8CFC4" w:sz="2"/>
              <w:bottom w:val="single" w:color="D8CFC4" w:sz="2"/>
              <w:right w:val="single" w:color="D8CFC4" w:sz="2"/>
            </w:tcBorders>
            <w:shd w:fill="FDF6EE" w:color="auto" w:val="clear"/>
            <w:tcMar>
              <w:top w:type="dxa" w:w="60"/>
              <w:left w:type="dxa" w:w="120"/>
              <w:bottom w:type="dxa" w:w="60"/>
              <w:right w:type="dxa" w:w="120"/>
            </w:tcMar>
          </w:tcPr>
          <w:p>
            <w:r>
              <w:rPr>
                <w:rFonts w:ascii="Montserrat" w:cs="Montserrat" w:eastAsia="Montserrat" w:hAnsi="Montserrat"/>
                <w:b/>
                <w:bCs/>
                <w:color w:val="905030"/>
                <w:sz w:val="19"/>
                <w:szCs w:val="19"/>
              </w:rPr>
              <w:t xml:space="preserve">KvK Number</w:t>
            </w:r>
          </w:p>
        </w:tc>
        <w:tc>
          <w:tcPr>
            <w:tcW w:type="dxa" w:w="6760"/>
            <w:tcBorders>
              <w:top w:val="single" w:color="D8CFC4" w:sz="2"/>
              <w:left w:val="single" w:color="D8CFC4" w:sz="2"/>
              <w:bottom w:val="single" w:color="D8CFC4" w:sz="2"/>
              <w:right w:val="single" w:color="D8CFC4" w:sz="2"/>
            </w:tcBorders>
            <w:tcMar>
              <w:top w:type="dxa" w:w="60"/>
              <w:left w:type="dxa" w:w="120"/>
              <w:bottom w:type="dxa" w:w="60"/>
              <w:right w:type="dxa" w:w="120"/>
            </w:tcMar>
          </w:tcPr>
          <w:p>
            <w:r>
              <w:rPr>
                <w:rFonts w:ascii="Georgia" w:cs="Georgia" w:eastAsia="Georgia" w:hAnsi="Georgia"/>
                <w:color w:val="2A2320"/>
                <w:sz w:val="20"/>
                <w:szCs w:val="20"/>
              </w:rPr>
              <w:t xml:space="preserve">98920685</w:t>
            </w:r>
          </w:p>
        </w:tc>
      </w:tr>
      <w:tr>
        <w:tc>
          <w:tcPr>
            <w:tcW w:type="dxa" w:w="2600"/>
            <w:tcBorders>
              <w:top w:val="single" w:color="D8CFC4" w:sz="2"/>
              <w:left w:val="single" w:color="D8CFC4" w:sz="2"/>
              <w:bottom w:val="single" w:color="D8CFC4" w:sz="2"/>
              <w:right w:val="single" w:color="D8CFC4" w:sz="2"/>
            </w:tcBorders>
            <w:shd w:fill="FDF6EE" w:color="auto" w:val="clear"/>
            <w:tcMar>
              <w:top w:type="dxa" w:w="60"/>
              <w:left w:type="dxa" w:w="120"/>
              <w:bottom w:type="dxa" w:w="60"/>
              <w:right w:type="dxa" w:w="120"/>
            </w:tcMar>
          </w:tcPr>
          <w:p>
            <w:r>
              <w:rPr>
                <w:rFonts w:ascii="Montserrat" w:cs="Montserrat" w:eastAsia="Montserrat" w:hAnsi="Montserrat"/>
                <w:b/>
                <w:bCs/>
                <w:color w:val="905030"/>
                <w:sz w:val="19"/>
                <w:szCs w:val="19"/>
              </w:rPr>
              <w:t xml:space="preserve">Established</w:t>
            </w:r>
          </w:p>
        </w:tc>
        <w:tc>
          <w:tcPr>
            <w:tcW w:type="dxa" w:w="6760"/>
            <w:tcBorders>
              <w:top w:val="single" w:color="D8CFC4" w:sz="2"/>
              <w:left w:val="single" w:color="D8CFC4" w:sz="2"/>
              <w:bottom w:val="single" w:color="D8CFC4" w:sz="2"/>
              <w:right w:val="single" w:color="D8CFC4" w:sz="2"/>
            </w:tcBorders>
            <w:tcMar>
              <w:top w:type="dxa" w:w="60"/>
              <w:left w:type="dxa" w:w="120"/>
              <w:bottom w:type="dxa" w:w="60"/>
              <w:right w:type="dxa" w:w="120"/>
            </w:tcMar>
          </w:tcPr>
          <w:p>
            <w:r>
              <w:rPr>
                <w:rFonts w:ascii="Georgia" w:cs="Georgia" w:eastAsia="Georgia" w:hAnsi="Georgia"/>
                <w:color w:val="2A2320"/>
                <w:sz w:val="20"/>
                <w:szCs w:val="20"/>
              </w:rPr>
              <w:t xml:space="preserve">18 November 2025</w:t>
            </w:r>
          </w:p>
        </w:tc>
      </w:tr>
      <w:tr>
        <w:tc>
          <w:tcPr>
            <w:tcW w:type="dxa" w:w="2600"/>
            <w:tcBorders>
              <w:top w:val="single" w:color="D8CFC4" w:sz="2"/>
              <w:left w:val="single" w:color="D8CFC4" w:sz="2"/>
              <w:bottom w:val="single" w:color="D8CFC4" w:sz="2"/>
              <w:right w:val="single" w:color="D8CFC4" w:sz="2"/>
            </w:tcBorders>
            <w:shd w:fill="FDF6EE" w:color="auto" w:val="clear"/>
            <w:tcMar>
              <w:top w:type="dxa" w:w="60"/>
              <w:left w:type="dxa" w:w="120"/>
              <w:bottom w:type="dxa" w:w="60"/>
              <w:right w:type="dxa" w:w="120"/>
            </w:tcMar>
          </w:tcPr>
          <w:p>
            <w:r>
              <w:rPr>
                <w:rFonts w:ascii="Montserrat" w:cs="Montserrat" w:eastAsia="Montserrat" w:hAnsi="Montserrat"/>
                <w:b/>
                <w:bCs/>
                <w:color w:val="905030"/>
                <w:sz w:val="19"/>
                <w:szCs w:val="19"/>
              </w:rPr>
              <w:t xml:space="preserve">Website</w:t>
            </w:r>
          </w:p>
        </w:tc>
        <w:tc>
          <w:tcPr>
            <w:tcW w:type="dxa" w:w="6760"/>
            <w:tcBorders>
              <w:top w:val="single" w:color="D8CFC4" w:sz="2"/>
              <w:left w:val="single" w:color="D8CFC4" w:sz="2"/>
              <w:bottom w:val="single" w:color="D8CFC4" w:sz="2"/>
              <w:right w:val="single" w:color="D8CFC4" w:sz="2"/>
            </w:tcBorders>
            <w:tcMar>
              <w:top w:type="dxa" w:w="60"/>
              <w:left w:type="dxa" w:w="120"/>
              <w:bottom w:type="dxa" w:w="60"/>
              <w:right w:type="dxa" w:w="120"/>
            </w:tcMar>
          </w:tcPr>
          <w:p>
            <w:r>
              <w:rPr>
                <w:rFonts w:ascii="Georgia" w:cs="Georgia" w:eastAsia="Georgia" w:hAnsi="Georgia"/>
                <w:color w:val="2A2320"/>
                <w:sz w:val="20"/>
                <w:szCs w:val="20"/>
              </w:rPr>
              <w:t xml:space="preserve">https://heartsforchange.online/</w:t>
            </w:r>
          </w:p>
        </w:tc>
      </w:tr>
      <w:tr>
        <w:tc>
          <w:tcPr>
            <w:tcW w:type="dxa" w:w="2600"/>
            <w:tcBorders>
              <w:top w:val="single" w:color="D8CFC4" w:sz="2"/>
              <w:left w:val="single" w:color="D8CFC4" w:sz="2"/>
              <w:bottom w:val="single" w:color="D8CFC4" w:sz="2"/>
              <w:right w:val="single" w:color="D8CFC4" w:sz="2"/>
            </w:tcBorders>
            <w:shd w:fill="FDF6EE" w:color="auto" w:val="clear"/>
            <w:tcMar>
              <w:top w:type="dxa" w:w="60"/>
              <w:left w:type="dxa" w:w="120"/>
              <w:bottom w:type="dxa" w:w="60"/>
              <w:right w:type="dxa" w:w="120"/>
            </w:tcMar>
          </w:tcPr>
          <w:p>
            <w:r>
              <w:rPr>
                <w:rFonts w:ascii="Montserrat" w:cs="Montserrat" w:eastAsia="Montserrat" w:hAnsi="Montserrat"/>
                <w:b/>
                <w:bCs/>
                <w:color w:val="905030"/>
                <w:sz w:val="19"/>
                <w:szCs w:val="19"/>
              </w:rPr>
              <w:t xml:space="preserve">Financial year</w:t>
            </w:r>
          </w:p>
        </w:tc>
        <w:tc>
          <w:tcPr>
            <w:tcW w:type="dxa" w:w="6760"/>
            <w:tcBorders>
              <w:top w:val="single" w:color="D8CFC4" w:sz="2"/>
              <w:left w:val="single" w:color="D8CFC4" w:sz="2"/>
              <w:bottom w:val="single" w:color="D8CFC4" w:sz="2"/>
              <w:right w:val="single" w:color="D8CFC4" w:sz="2"/>
            </w:tcBorders>
            <w:tcMar>
              <w:top w:type="dxa" w:w="60"/>
              <w:left w:type="dxa" w:w="120"/>
              <w:bottom w:type="dxa" w:w="60"/>
              <w:right w:type="dxa" w:w="120"/>
            </w:tcMar>
          </w:tcPr>
          <w:p>
            <w:r>
              <w:rPr>
                <w:rFonts w:ascii="Georgia" w:cs="Georgia" w:eastAsia="Georgia" w:hAnsi="Georgia"/>
                <w:color w:val="2A2320"/>
                <w:sz w:val="20"/>
                <w:szCs w:val="20"/>
              </w:rPr>
              <w:t xml:space="preserve">18 November 2025 – 31 December 2026 (extended first financial year)</w:t>
            </w:r>
          </w:p>
        </w:tc>
      </w:tr>
    </w:tbl>
    <w:p>
      <w:pPr>
        <w:spacing w:after="120"/>
      </w:pPr>
    </w:p>
    <w:p>
      <w:pPr>
        <w:spacing w:after="60" w:before="160"/>
      </w:pPr>
      <w:r>
        <w:rPr>
          <w:rFonts w:ascii="Montserrat" w:cs="Montserrat" w:eastAsia="Montserrat" w:hAnsi="Montserrat"/>
          <w:b/>
          <w:bCs/>
          <w:color w:val="E0A020"/>
          <w:sz w:val="21"/>
          <w:szCs w:val="21"/>
        </w:rPr>
        <w:t xml:space="preserve">Introduction</w:t>
      </w:r>
    </w:p>
    <w:p>
      <w:pPr>
        <w:spacing w:after="120" w:line="276"/>
        <w:jc w:val="left"/>
      </w:pPr>
      <w:r>
        <w:rPr>
          <w:rFonts w:ascii="Georgia" w:cs="Georgia" w:eastAsia="Georgia" w:hAnsi="Georgia"/>
          <w:b w:val="false"/>
          <w:bCs w:val="false"/>
          <w:i w:val="false"/>
          <w:iCs w:val="false"/>
          <w:color w:val="2A2320"/>
          <w:sz w:val="21"/>
          <w:szCs w:val="21"/>
        </w:rPr>
        <w:t xml:space="preserve">Stichting Hearts for Change was legally established in November 2025. The remainder of 2025 served as a start-up phase focused on governance setup, needs assessment, relationship-building with local stakeholders, and preparation for sustainable project implementation. This policy plan therefore covers the period November 2025–2028.</w:t>
      </w:r>
    </w:p>
    <w:p>
      <w:pPr>
        <w:pBdr>
          <w:bottom w:val="single" w:color="E01010" w:sz="6"/>
        </w:pBdr>
        <w:spacing w:after="100" w:before="260"/>
      </w:pPr>
      <w:r>
        <w:rPr>
          <w:rFonts w:ascii="Montserrat" w:cs="Montserrat" w:eastAsia="Montserrat" w:hAnsi="Montserrat"/>
          <w:b/>
          <w:bCs/>
          <w:caps/>
          <w:color w:val="E01010"/>
          <w:spacing w:val="10"/>
          <w:sz w:val="24"/>
          <w:szCs w:val="24"/>
        </w:rPr>
        <w:t xml:space="preserve">2. Mission &amp; statutory objective</w:t>
      </w:r>
    </w:p>
    <w:p>
      <w:pPr>
        <w:spacing w:after="60" w:before="160"/>
      </w:pPr>
      <w:r>
        <w:rPr>
          <w:rFonts w:ascii="Montserrat" w:cs="Montserrat" w:eastAsia="Montserrat" w:hAnsi="Montserrat"/>
          <w:b/>
          <w:bCs/>
          <w:color w:val="E0A020"/>
          <w:sz w:val="21"/>
          <w:szCs w:val="21"/>
        </w:rPr>
        <w:t xml:space="preserve">2.1 Statutory objective</w:t>
      </w:r>
    </w:p>
    <w:p>
      <w:pPr>
        <w:spacing w:after="120" w:line="276"/>
        <w:jc w:val="left"/>
      </w:pPr>
      <w:r>
        <w:rPr>
          <w:rFonts w:ascii="Georgia" w:cs="Georgia" w:eastAsia="Georgia" w:hAnsi="Georgia"/>
          <w:b w:val="false"/>
          <w:bCs w:val="false"/>
          <w:i w:val="false"/>
          <w:iCs w:val="false"/>
          <w:color w:val="2A2320"/>
          <w:sz w:val="21"/>
          <w:szCs w:val="21"/>
        </w:rPr>
        <w:t xml:space="preserve">In accordance with Article 3 of the Articles of Association, the Foundation’s statutory objective is:</w:t>
      </w:r>
    </w:p>
    <w:tbl>
      <w:tblPr>
        <w:tblW w:type="pct" w:w="100%"/>
        <w:tblBorders>
          <w:top w:val="none" w:color="auto" w:sz="0"/>
          <w:left w:val="single" w:color="2080E0" w:sz="24"/>
          <w:bottom w:val="none" w:color="auto" w:sz="0"/>
          <w:right w:val="none" w:color="auto" w:sz="0"/>
          <w:insideH w:val="none" w:color="auto" w:sz="0"/>
          <w:insideV w:val="none" w:color="auto" w:sz="0"/>
        </w:tblBorders>
      </w:tblPr>
      <w:tblGrid>
        <w:gridCol w:w="9360"/>
      </w:tblGrid>
      <w:tr>
        <w:tc>
          <w:tcPr>
            <w:shd w:fill="FDF6EE" w:color="auto" w:val="clear"/>
            <w:tcMar>
              <w:top w:type="dxa" w:w="120"/>
              <w:left w:type="dxa" w:w="220"/>
              <w:bottom w:type="dxa" w:w="120"/>
              <w:right w:type="dxa" w:w="220"/>
            </w:tcMar>
          </w:tcPr>
          <w:p>
            <w:r>
              <w:rPr>
                <w:rFonts w:ascii="Georgia" w:cs="Georgia" w:eastAsia="Georgia" w:hAnsi="Georgia"/>
                <w:b w:val="false"/>
                <w:bCs w:val="false"/>
                <w:i/>
                <w:iCs/>
                <w:color w:val="2A2320"/>
                <w:sz w:val="21"/>
                <w:szCs w:val="21"/>
              </w:rPr>
              <w:t xml:space="preserve">To support children in disadvantaged regions by creating, together with their local communities, safe and inspiring learning environments, offering additional educational and life-skills opportunities, and providing essential support. The Foundation does not pursue profit.</w:t>
            </w:r>
          </w:p>
        </w:tc>
      </w:tr>
    </w:tbl>
    <w:p>
      <w:pPr>
        <w:spacing w:after="100"/>
      </w:pPr>
    </w:p>
    <w:p>
      <w:pPr>
        <w:spacing w:after="60" w:before="160"/>
      </w:pPr>
      <w:r>
        <w:rPr>
          <w:rFonts w:ascii="Montserrat" w:cs="Montserrat" w:eastAsia="Montserrat" w:hAnsi="Montserrat"/>
          <w:b/>
          <w:bCs/>
          <w:color w:val="E0A020"/>
          <w:sz w:val="21"/>
          <w:szCs w:val="21"/>
        </w:rPr>
        <w:t xml:space="preserve">2.2 Approach</w:t>
      </w:r>
    </w:p>
    <w:p>
      <w:pPr>
        <w:spacing w:after="120" w:line="276"/>
        <w:jc w:val="left"/>
      </w:pPr>
      <w:r>
        <w:rPr>
          <w:rFonts w:ascii="Georgia" w:cs="Georgia" w:eastAsia="Georgia" w:hAnsi="Georgia"/>
          <w:b w:val="false"/>
          <w:bCs w:val="false"/>
          <w:i w:val="false"/>
          <w:iCs w:val="false"/>
          <w:color w:val="2A2320"/>
          <w:sz w:val="21"/>
          <w:szCs w:val="21"/>
        </w:rPr>
        <w:t xml:space="preserve">The Foundation seeks to achieve this purpose by focusing specifically on underserved communities. We aim to realize our goals by supporting local schools and educational institutions, and by developing and implementing supplementary educational programs and tools. These initiatives are designed to enrich and support existing local curricula rather than replace them. Furthermore, the Foundation engages in offering community-development workshops, worldwide fundraising, facilitating volunteer programs, and building partnerships. The Foundation may also explore the development and application of technology-based educational tools and curricula to further its mission in resource-limited environments.</w:t>
      </w:r>
    </w:p>
    <w:p>
      <w:pPr>
        <w:pBdr>
          <w:bottom w:val="single" w:color="E01010" w:sz="6"/>
        </w:pBdr>
        <w:spacing w:after="100" w:before="260"/>
      </w:pPr>
      <w:r>
        <w:rPr>
          <w:rFonts w:ascii="Montserrat" w:cs="Montserrat" w:eastAsia="Montserrat" w:hAnsi="Montserrat"/>
          <w:b/>
          <w:bCs/>
          <w:caps/>
          <w:color w:val="E01010"/>
          <w:spacing w:val="10"/>
          <w:sz w:val="24"/>
          <w:szCs w:val="24"/>
        </w:rPr>
        <w:t xml:space="preserve">3. Public benefit &amp; target groups</w:t>
      </w:r>
    </w:p>
    <w:p>
      <w:pPr>
        <w:spacing w:after="60" w:before="160"/>
      </w:pPr>
      <w:r>
        <w:rPr>
          <w:rFonts w:ascii="Montserrat" w:cs="Montserrat" w:eastAsia="Montserrat" w:hAnsi="Montserrat"/>
          <w:b/>
          <w:bCs/>
          <w:color w:val="E0A020"/>
          <w:sz w:val="21"/>
          <w:szCs w:val="21"/>
        </w:rPr>
        <w:t xml:space="preserve">3.1 Public benefit</w:t>
      </w:r>
    </w:p>
    <w:p>
      <w:pPr>
        <w:spacing w:after="120" w:line="276"/>
        <w:jc w:val="left"/>
      </w:pPr>
      <w:r>
        <w:rPr>
          <w:rFonts w:ascii="Georgia" w:cs="Georgia" w:eastAsia="Georgia" w:hAnsi="Georgia"/>
          <w:b w:val="false"/>
          <w:bCs w:val="false"/>
          <w:i w:val="false"/>
          <w:iCs w:val="false"/>
          <w:color w:val="2A2320"/>
          <w:sz w:val="21"/>
          <w:szCs w:val="21"/>
        </w:rPr>
        <w:t xml:space="preserve">The Foundation’s activities are aimed </w:t>
      </w:r>
      <w:r>
        <w:rPr>
          <w:rFonts w:ascii="Georgia" w:cs="Georgia" w:eastAsia="Georgia" w:hAnsi="Georgia"/>
          <w:b/>
          <w:bCs/>
          <w:i w:val="false"/>
          <w:iCs w:val="false"/>
          <w:color w:val="2A2320"/>
          <w:sz w:val="21"/>
          <w:szCs w:val="21"/>
        </w:rPr>
        <w:t xml:space="preserve">almost exclusively</w:t>
      </w:r>
      <w:r>
        <w:rPr>
          <w:rFonts w:ascii="Georgia" w:cs="Georgia" w:eastAsia="Georgia" w:hAnsi="Georgia"/>
          <w:b w:val="false"/>
          <w:bCs w:val="false"/>
          <w:i w:val="false"/>
          <w:iCs w:val="false"/>
          <w:color w:val="2A2320"/>
          <w:sz w:val="21"/>
          <w:szCs w:val="21"/>
        </w:rPr>
        <w:t xml:space="preserve"> (nagenoeg uitsluitend) at the general public benefit.</w:t>
      </w:r>
    </w:p>
    <w:p>
      <w:pPr>
        <w:spacing w:after="60" w:before="160"/>
      </w:pPr>
      <w:r>
        <w:rPr>
          <w:rFonts w:ascii="Montserrat" w:cs="Montserrat" w:eastAsia="Montserrat" w:hAnsi="Montserrat"/>
          <w:b/>
          <w:bCs/>
          <w:color w:val="E0A020"/>
          <w:sz w:val="21"/>
          <w:szCs w:val="21"/>
        </w:rPr>
        <w:t xml:space="preserve">3.2 Target groups</w:t>
      </w:r>
    </w:p>
    <w:p>
      <w:pPr>
        <w:pStyle w:val="ListParagraph"/>
        <w:numPr>
          <w:ilvl w:val="0"/>
          <w:numId w:val="1"/>
        </w:numPr>
        <w:spacing w:after="60" w:line="268"/>
      </w:pPr>
      <w:r>
        <w:rPr>
          <w:rFonts w:ascii="Georgia" w:cs="Georgia" w:eastAsia="Georgia" w:hAnsi="Georgia"/>
          <w:color w:val="2A2320"/>
          <w:sz w:val="21"/>
          <w:szCs w:val="21"/>
        </w:rPr>
        <w:t xml:space="preserve">Children in disadvantaged regions.</w:t>
      </w:r>
    </w:p>
    <w:p>
      <w:pPr>
        <w:pStyle w:val="ListParagraph"/>
        <w:numPr>
          <w:ilvl w:val="0"/>
          <w:numId w:val="1"/>
        </w:numPr>
        <w:spacing w:after="60" w:line="268"/>
      </w:pPr>
      <w:r>
        <w:rPr>
          <w:rFonts w:ascii="Georgia" w:cs="Georgia" w:eastAsia="Georgia" w:hAnsi="Georgia"/>
          <w:color w:val="2A2320"/>
          <w:sz w:val="21"/>
          <w:szCs w:val="21"/>
        </w:rPr>
        <w:t xml:space="preserve">Local schools and educational institutions.</w:t>
      </w:r>
    </w:p>
    <w:p>
      <w:pPr>
        <w:pStyle w:val="ListParagraph"/>
        <w:numPr>
          <w:ilvl w:val="0"/>
          <w:numId w:val="1"/>
        </w:numPr>
        <w:spacing w:after="60" w:line="268"/>
      </w:pPr>
      <w:r>
        <w:rPr>
          <w:rFonts w:ascii="Georgia" w:cs="Georgia" w:eastAsia="Georgia" w:hAnsi="Georgia"/>
          <w:color w:val="2A2320"/>
          <w:sz w:val="21"/>
          <w:szCs w:val="21"/>
        </w:rPr>
        <w:t xml:space="preserve">Teachers and educators.</w:t>
      </w:r>
    </w:p>
    <w:p>
      <w:pPr>
        <w:pStyle w:val="ListParagraph"/>
        <w:numPr>
          <w:ilvl w:val="0"/>
          <w:numId w:val="1"/>
        </w:numPr>
        <w:spacing w:after="60" w:line="268"/>
      </w:pPr>
      <w:r>
        <w:rPr>
          <w:rFonts w:ascii="Georgia" w:cs="Georgia" w:eastAsia="Georgia" w:hAnsi="Georgia"/>
          <w:color w:val="2A2320"/>
          <w:sz w:val="21"/>
          <w:szCs w:val="21"/>
        </w:rPr>
        <w:t xml:space="preserve">Vulnerable families connected to school communities.</w:t>
      </w:r>
    </w:p>
    <w:p>
      <w:pPr>
        <w:pBdr>
          <w:bottom w:val="single" w:color="E01010" w:sz="6"/>
        </w:pBdr>
        <w:spacing w:after="100" w:before="260"/>
      </w:pPr>
      <w:r>
        <w:rPr>
          <w:rFonts w:ascii="Montserrat" w:cs="Montserrat" w:eastAsia="Montserrat" w:hAnsi="Montserrat"/>
          <w:b/>
          <w:bCs/>
          <w:caps/>
          <w:color w:val="E01010"/>
          <w:spacing w:val="10"/>
          <w:sz w:val="24"/>
          <w:szCs w:val="24"/>
        </w:rPr>
        <w:t xml:space="preserve">4. Activities plan</w:t>
      </w:r>
    </w:p>
    <w:p>
      <w:pPr>
        <w:spacing w:after="60" w:before="160"/>
      </w:pPr>
      <w:r>
        <w:rPr>
          <w:rFonts w:ascii="Montserrat" w:cs="Montserrat" w:eastAsia="Montserrat" w:hAnsi="Montserrat"/>
          <w:b/>
          <w:bCs/>
          <w:color w:val="E0A020"/>
          <w:sz w:val="21"/>
          <w:szCs w:val="21"/>
        </w:rPr>
        <w:t xml:space="preserve">4.1 Phase 1 &amp; 2: Start-up &amp; implementation (Nov 2025 – 2026)</w:t>
      </w:r>
    </w:p>
    <w:p>
      <w:pPr>
        <w:spacing w:after="120" w:line="276"/>
        <w:jc w:val="left"/>
      </w:pPr>
      <w:r>
        <w:rPr>
          <w:rFonts w:ascii="Georgia" w:cs="Georgia" w:eastAsia="Georgia" w:hAnsi="Georgia"/>
          <w:b w:val="false"/>
          <w:bCs w:val="false"/>
          <w:i w:val="false"/>
          <w:iCs w:val="false"/>
          <w:color w:val="2A2320"/>
          <w:sz w:val="21"/>
          <w:szCs w:val="21"/>
        </w:rPr>
        <w:t xml:space="preserve">The period from November 2025 to December 2026 constitutes the Foundation’s extended first financial year. Following the initial governance setup in late 2025, the Foundation focuses on establishing essential infrastructure and launching support programs in our current partner region (Kenya). Planned activities include:</w:t>
      </w:r>
    </w:p>
    <w:p>
      <w:pPr>
        <w:pStyle w:val="ListParagraph"/>
        <w:numPr>
          <w:ilvl w:val="0"/>
          <w:numId w:val="1"/>
        </w:numPr>
        <w:spacing w:after="60" w:line="268"/>
      </w:pPr>
      <w:r>
        <w:rPr>
          <w:rFonts w:ascii="Georgia" w:cs="Georgia" w:eastAsia="Georgia" w:hAnsi="Georgia"/>
          <w:b/>
          <w:bCs/>
          <w:i w:val="false"/>
          <w:iCs w:val="false"/>
          <w:color w:val="2A2320"/>
          <w:sz w:val="21"/>
          <w:szCs w:val="21"/>
        </w:rPr>
        <w:t xml:space="preserve">Infrastructure support — WASH projects: </w:t>
      </w:r>
      <w:r>
        <w:rPr>
          <w:rFonts w:ascii="Georgia" w:cs="Georgia" w:eastAsia="Georgia" w:hAnsi="Georgia"/>
          <w:b w:val="false"/>
          <w:bCs w:val="false"/>
          <w:i w:val="false"/>
          <w:iCs w:val="false"/>
          <w:color w:val="2A2320"/>
          <w:sz w:val="21"/>
          <w:szCs w:val="21"/>
        </w:rPr>
        <w:t xml:space="preserve">improving water access and sanitation at partner schools to ensure hygiene.</w:t>
      </w:r>
    </w:p>
    <w:p>
      <w:pPr>
        <w:pStyle w:val="ListParagraph"/>
        <w:numPr>
          <w:ilvl w:val="0"/>
          <w:numId w:val="1"/>
        </w:numPr>
        <w:spacing w:after="60" w:line="268"/>
      </w:pPr>
      <w:r>
        <w:rPr>
          <w:rFonts w:ascii="Georgia" w:cs="Georgia" w:eastAsia="Georgia" w:hAnsi="Georgia"/>
          <w:b/>
          <w:bCs/>
          <w:i w:val="false"/>
          <w:iCs w:val="false"/>
          <w:color w:val="2A2320"/>
          <w:sz w:val="21"/>
          <w:szCs w:val="21"/>
        </w:rPr>
        <w:t xml:space="preserve">Educational resources: </w:t>
      </w:r>
      <w:r>
        <w:rPr>
          <w:rFonts w:ascii="Georgia" w:cs="Georgia" w:eastAsia="Georgia" w:hAnsi="Georgia"/>
          <w:b w:val="false"/>
          <w:bCs w:val="false"/>
          <w:i w:val="false"/>
          <w:iCs w:val="false"/>
          <w:color w:val="2A2320"/>
          <w:sz w:val="21"/>
          <w:szCs w:val="21"/>
        </w:rPr>
        <w:t xml:space="preserve">providing essential equipment, such as classroom furniture and digital/audiovisual learning resources (e.g., computers, projectors, speakers).</w:t>
      </w:r>
    </w:p>
    <w:p>
      <w:pPr>
        <w:pStyle w:val="ListParagraph"/>
        <w:numPr>
          <w:ilvl w:val="0"/>
          <w:numId w:val="1"/>
        </w:numPr>
        <w:spacing w:after="60" w:line="268"/>
      </w:pPr>
      <w:r>
        <w:rPr>
          <w:rFonts w:ascii="Georgia" w:cs="Georgia" w:eastAsia="Georgia" w:hAnsi="Georgia"/>
          <w:b/>
          <w:bCs/>
          <w:i w:val="false"/>
          <w:iCs w:val="false"/>
          <w:color w:val="2A2320"/>
          <w:sz w:val="21"/>
          <w:szCs w:val="21"/>
        </w:rPr>
        <w:t xml:space="preserve">Educational programs: </w:t>
      </w:r>
      <w:r>
        <w:rPr>
          <w:rFonts w:ascii="Georgia" w:cs="Georgia" w:eastAsia="Georgia" w:hAnsi="Georgia"/>
          <w:b w:val="false"/>
          <w:bCs w:val="false"/>
          <w:i w:val="false"/>
          <w:iCs w:val="false"/>
          <w:color w:val="2A2320"/>
          <w:sz w:val="21"/>
          <w:szCs w:val="21"/>
        </w:rPr>
        <w:t xml:space="preserve">development and implementation of supplementary “Life Skills” workshops (personal development, health, social skills).</w:t>
      </w:r>
    </w:p>
    <w:p>
      <w:pPr>
        <w:pStyle w:val="ListParagraph"/>
        <w:numPr>
          <w:ilvl w:val="0"/>
          <w:numId w:val="1"/>
        </w:numPr>
        <w:spacing w:after="60" w:line="268"/>
      </w:pPr>
      <w:r>
        <w:rPr>
          <w:rFonts w:ascii="Georgia" w:cs="Georgia" w:eastAsia="Georgia" w:hAnsi="Georgia"/>
          <w:b/>
          <w:bCs/>
          <w:i w:val="false"/>
          <w:iCs w:val="false"/>
          <w:color w:val="2A2320"/>
          <w:sz w:val="21"/>
          <w:szCs w:val="21"/>
        </w:rPr>
        <w:t xml:space="preserve">Community support: </w:t>
      </w:r>
      <w:r>
        <w:rPr>
          <w:rFonts w:ascii="Georgia" w:cs="Georgia" w:eastAsia="Georgia" w:hAnsi="Georgia"/>
          <w:b w:val="false"/>
          <w:bCs w:val="false"/>
          <w:i w:val="false"/>
          <w:iCs w:val="false"/>
          <w:color w:val="2A2320"/>
          <w:sz w:val="21"/>
          <w:szCs w:val="21"/>
        </w:rPr>
        <w:t xml:space="preserve">workshops for parents/caregivers focusing on child wellbeing and community empowerment (e.g., basic skills training).</w:t>
      </w:r>
    </w:p>
    <w:p>
      <w:pPr>
        <w:pStyle w:val="ListParagraph"/>
        <w:numPr>
          <w:ilvl w:val="0"/>
          <w:numId w:val="1"/>
        </w:numPr>
        <w:spacing w:after="60" w:line="268"/>
      </w:pPr>
      <w:r>
        <w:rPr>
          <w:rFonts w:ascii="Georgia" w:cs="Georgia" w:eastAsia="Georgia" w:hAnsi="Georgia"/>
          <w:b/>
          <w:bCs/>
          <w:i w:val="false"/>
          <w:iCs w:val="false"/>
          <w:color w:val="2A2320"/>
          <w:sz w:val="21"/>
          <w:szCs w:val="21"/>
        </w:rPr>
        <w:t xml:space="preserve">Volunteer programs: </w:t>
      </w:r>
      <w:r>
        <w:rPr>
          <w:rFonts w:ascii="Georgia" w:cs="Georgia" w:eastAsia="Georgia" w:hAnsi="Georgia"/>
          <w:b w:val="false"/>
          <w:bCs w:val="false"/>
          <w:i w:val="false"/>
          <w:iCs w:val="false"/>
          <w:color w:val="2A2320"/>
          <w:sz w:val="21"/>
          <w:szCs w:val="21"/>
        </w:rPr>
        <w:t xml:space="preserve">coordination of volunteers to support daily school activities and renovation work.</w:t>
      </w:r>
    </w:p>
    <w:p>
      <w:pPr>
        <w:pStyle w:val="ListParagraph"/>
        <w:numPr>
          <w:ilvl w:val="0"/>
          <w:numId w:val="1"/>
        </w:numPr>
        <w:spacing w:after="60" w:line="268"/>
      </w:pPr>
      <w:r>
        <w:rPr>
          <w:rFonts w:ascii="Georgia" w:cs="Georgia" w:eastAsia="Georgia" w:hAnsi="Georgia"/>
          <w:b/>
          <w:bCs/>
          <w:i w:val="false"/>
          <w:iCs w:val="false"/>
          <w:color w:val="2A2320"/>
          <w:sz w:val="21"/>
          <w:szCs w:val="21"/>
        </w:rPr>
        <w:t xml:space="preserve">Partnerships &amp; network building: </w:t>
      </w:r>
      <w:r>
        <w:rPr>
          <w:rFonts w:ascii="Georgia" w:cs="Georgia" w:eastAsia="Georgia" w:hAnsi="Georgia"/>
          <w:b w:val="false"/>
          <w:bCs w:val="false"/>
          <w:i w:val="false"/>
          <w:iCs w:val="false"/>
          <w:color w:val="2A2320"/>
          <w:sz w:val="21"/>
          <w:szCs w:val="21"/>
        </w:rPr>
        <w:t xml:space="preserve">establishing relationships with other NGOs to share knowledge and avoid duplication; approaching companies for Corporate Social Responsibility (CSR) partnerships and project funding.</w:t>
      </w:r>
    </w:p>
    <w:p>
      <w:pPr>
        <w:pStyle w:val="ListParagraph"/>
        <w:numPr>
          <w:ilvl w:val="0"/>
          <w:numId w:val="1"/>
        </w:numPr>
        <w:spacing w:after="60" w:line="268"/>
      </w:pPr>
      <w:r>
        <w:rPr>
          <w:rFonts w:ascii="Georgia" w:cs="Georgia" w:eastAsia="Georgia" w:hAnsi="Georgia"/>
          <w:b/>
          <w:bCs/>
          <w:i w:val="false"/>
          <w:iCs w:val="false"/>
          <w:color w:val="2A2320"/>
          <w:sz w:val="21"/>
          <w:szCs w:val="21"/>
        </w:rPr>
        <w:t xml:space="preserve">Fundraising activities: </w:t>
      </w:r>
      <w:r>
        <w:rPr>
          <w:rFonts w:ascii="Georgia" w:cs="Georgia" w:eastAsia="Georgia" w:hAnsi="Georgia"/>
          <w:b w:val="false"/>
          <w:bCs w:val="false"/>
          <w:i w:val="false"/>
          <w:iCs w:val="false"/>
          <w:color w:val="2A2320"/>
          <w:sz w:val="21"/>
          <w:szCs w:val="21"/>
        </w:rPr>
        <w:t xml:space="preserve">launching online awareness campaigns and organizing small-scale fundraising events to engage individual donors and corporate sponsors.</w:t>
      </w:r>
    </w:p>
    <w:p>
      <w:pPr>
        <w:spacing w:after="60" w:before="160"/>
      </w:pPr>
      <w:r>
        <w:rPr>
          <w:rFonts w:ascii="Montserrat" w:cs="Montserrat" w:eastAsia="Montserrat" w:hAnsi="Montserrat"/>
          <w:b/>
          <w:bCs/>
          <w:color w:val="E0A020"/>
          <w:sz w:val="21"/>
          <w:szCs w:val="21"/>
        </w:rPr>
        <w:t xml:space="preserve">4.2 Phase 3: Expansion &amp; outlook (2027–2028)</w:t>
      </w:r>
    </w:p>
    <w:p>
      <w:pPr>
        <w:spacing w:after="120" w:line="276"/>
        <w:jc w:val="left"/>
      </w:pPr>
      <w:r>
        <w:rPr>
          <w:rFonts w:ascii="Georgia" w:cs="Georgia" w:eastAsia="Georgia" w:hAnsi="Georgia"/>
          <w:b w:val="false"/>
          <w:bCs w:val="false"/>
          <w:i w:val="false"/>
          <w:iCs w:val="false"/>
          <w:color w:val="2A2320"/>
          <w:sz w:val="21"/>
          <w:szCs w:val="21"/>
        </w:rPr>
        <w:t xml:space="preserve">During 2027–2028, the Foundation aims to deepen its impact through economic empowerment and innovation.</w:t>
      </w:r>
    </w:p>
    <w:p>
      <w:pPr>
        <w:pStyle w:val="ListParagraph"/>
        <w:numPr>
          <w:ilvl w:val="0"/>
          <w:numId w:val="1"/>
        </w:numPr>
        <w:spacing w:after="60" w:line="268"/>
      </w:pPr>
      <w:r>
        <w:rPr>
          <w:rFonts w:ascii="Georgia" w:cs="Georgia" w:eastAsia="Georgia" w:hAnsi="Georgia"/>
          <w:b/>
          <w:bCs/>
          <w:i w:val="false"/>
          <w:iCs w:val="false"/>
          <w:color w:val="2A2320"/>
          <w:sz w:val="21"/>
          <w:szCs w:val="21"/>
        </w:rPr>
        <w:t xml:space="preserve">Consolidation: </w:t>
      </w:r>
      <w:r>
        <w:rPr>
          <w:rFonts w:ascii="Georgia" w:cs="Georgia" w:eastAsia="Georgia" w:hAnsi="Georgia"/>
          <w:b w:val="false"/>
          <w:bCs w:val="false"/>
          <w:i w:val="false"/>
          <w:iCs w:val="false"/>
          <w:color w:val="2A2320"/>
          <w:sz w:val="21"/>
          <w:szCs w:val="21"/>
        </w:rPr>
        <w:t xml:space="preserve">continuing and scaling up successful activities from Phase 2, including fundraising campaigns, volunteer programs, and strategic partnerships.</w:t>
      </w:r>
    </w:p>
    <w:p>
      <w:pPr>
        <w:pStyle w:val="ListParagraph"/>
        <w:numPr>
          <w:ilvl w:val="0"/>
          <w:numId w:val="1"/>
        </w:numPr>
        <w:spacing w:after="60" w:line="268"/>
      </w:pPr>
      <w:r>
        <w:rPr>
          <w:rFonts w:ascii="Georgia" w:cs="Georgia" w:eastAsia="Georgia" w:hAnsi="Georgia"/>
          <w:b/>
          <w:bCs/>
          <w:i w:val="false"/>
          <w:iCs w:val="false"/>
          <w:color w:val="2A2320"/>
          <w:sz w:val="21"/>
          <w:szCs w:val="21"/>
        </w:rPr>
        <w:t xml:space="preserve">Capacity building (economic empowerment): </w:t>
      </w:r>
      <w:r>
        <w:rPr>
          <w:rFonts w:ascii="Georgia" w:cs="Georgia" w:eastAsia="Georgia" w:hAnsi="Georgia"/>
          <w:b w:val="false"/>
          <w:bCs w:val="false"/>
          <w:i w:val="false"/>
          <w:iCs w:val="false"/>
          <w:color w:val="2A2320"/>
          <w:sz w:val="21"/>
          <w:szCs w:val="21"/>
        </w:rPr>
        <w:t xml:space="preserve">facilitating vocational training (e.g., crafts or design) where professionals train locals to foster financial independence; exploring the sale of community-made products to generate income for the project.</w:t>
      </w:r>
    </w:p>
    <w:p>
      <w:pPr>
        <w:pStyle w:val="ListParagraph"/>
        <w:numPr>
          <w:ilvl w:val="0"/>
          <w:numId w:val="1"/>
        </w:numPr>
        <w:spacing w:after="60" w:line="268"/>
      </w:pPr>
      <w:r>
        <w:rPr>
          <w:rFonts w:ascii="Georgia" w:cs="Georgia" w:eastAsia="Georgia" w:hAnsi="Georgia"/>
          <w:b/>
          <w:bCs/>
          <w:i w:val="false"/>
          <w:iCs w:val="false"/>
          <w:color w:val="2A2320"/>
          <w:sz w:val="21"/>
          <w:szCs w:val="21"/>
        </w:rPr>
        <w:t xml:space="preserve">Educational innovation: </w:t>
      </w:r>
      <w:r>
        <w:rPr>
          <w:rFonts w:ascii="Georgia" w:cs="Georgia" w:eastAsia="Georgia" w:hAnsi="Georgia"/>
          <w:b w:val="false"/>
          <w:bCs w:val="false"/>
          <w:i w:val="false"/>
          <w:iCs w:val="false"/>
          <w:color w:val="2A2320"/>
          <w:sz w:val="21"/>
          <w:szCs w:val="21"/>
        </w:rPr>
        <w:t xml:space="preserve">exploring the application and development of digital educational tools to assist teachers and students in resource-limited environments.</w:t>
      </w:r>
    </w:p>
    <w:p>
      <w:pPr>
        <w:pStyle w:val="ListParagraph"/>
        <w:numPr>
          <w:ilvl w:val="0"/>
          <w:numId w:val="1"/>
        </w:numPr>
        <w:spacing w:after="60" w:line="268"/>
      </w:pPr>
      <w:r>
        <w:rPr>
          <w:rFonts w:ascii="Georgia" w:cs="Georgia" w:eastAsia="Georgia" w:hAnsi="Georgia"/>
          <w:b/>
          <w:bCs/>
          <w:i w:val="false"/>
          <w:iCs w:val="false"/>
          <w:color w:val="2A2320"/>
          <w:sz w:val="21"/>
          <w:szCs w:val="21"/>
        </w:rPr>
        <w:t xml:space="preserve">Expansion: </w:t>
      </w:r>
      <w:r>
        <w:rPr>
          <w:rFonts w:ascii="Georgia" w:cs="Georgia" w:eastAsia="Georgia" w:hAnsi="Georgia"/>
          <w:b w:val="false"/>
          <w:bCs w:val="false"/>
          <w:i w:val="false"/>
          <w:iCs w:val="false"/>
          <w:color w:val="2A2320"/>
          <w:sz w:val="21"/>
          <w:szCs w:val="21"/>
        </w:rPr>
        <w:t xml:space="preserve">exploring the replication of successful support models in other disadvantaged regions.</w:t>
      </w:r>
    </w:p>
    <w:p>
      <w:pPr>
        <w:pBdr>
          <w:bottom w:val="single" w:color="E01010" w:sz="6"/>
        </w:pBdr>
        <w:spacing w:after="100" w:before="260"/>
      </w:pPr>
      <w:r>
        <w:rPr>
          <w:rFonts w:ascii="Montserrat" w:cs="Montserrat" w:eastAsia="Montserrat" w:hAnsi="Montserrat"/>
          <w:b/>
          <w:bCs/>
          <w:caps/>
          <w:color w:val="E01010"/>
          <w:spacing w:val="10"/>
          <w:sz w:val="24"/>
          <w:szCs w:val="24"/>
        </w:rPr>
        <w:t xml:space="preserve">5. Fundraising strategy</w:t>
      </w:r>
    </w:p>
    <w:p>
      <w:pPr>
        <w:spacing w:after="120" w:line="276"/>
        <w:jc w:val="left"/>
      </w:pPr>
      <w:r>
        <w:rPr>
          <w:rFonts w:ascii="Georgia" w:cs="Georgia" w:eastAsia="Georgia" w:hAnsi="Georgia"/>
          <w:b w:val="false"/>
          <w:bCs w:val="false"/>
          <w:i w:val="false"/>
          <w:iCs w:val="false"/>
          <w:color w:val="2A2320"/>
          <w:sz w:val="21"/>
          <w:szCs w:val="21"/>
        </w:rPr>
        <w:t xml:space="preserve">The Foundation raises funds in accordance with its Statutes. Expected income sources include:</w:t>
      </w:r>
    </w:p>
    <w:p>
      <w:pPr>
        <w:pStyle w:val="ListParagraph"/>
        <w:numPr>
          <w:ilvl w:val="0"/>
          <w:numId w:val="1"/>
        </w:numPr>
        <w:spacing w:after="60" w:line="268"/>
      </w:pPr>
      <w:r>
        <w:rPr>
          <w:rFonts w:ascii="Georgia" w:cs="Georgia" w:eastAsia="Georgia" w:hAnsi="Georgia"/>
          <w:b/>
          <w:bCs/>
          <w:i w:val="false"/>
          <w:iCs w:val="false"/>
          <w:color w:val="2A2320"/>
          <w:sz w:val="21"/>
          <w:szCs w:val="21"/>
        </w:rPr>
        <w:t xml:space="preserve">Private donations: </w:t>
      </w:r>
      <w:r>
        <w:rPr>
          <w:rFonts w:ascii="Georgia" w:cs="Georgia" w:eastAsia="Georgia" w:hAnsi="Georgia"/>
          <w:b w:val="false"/>
          <w:bCs w:val="false"/>
          <w:i w:val="false"/>
          <w:iCs w:val="false"/>
          <w:color w:val="2A2320"/>
          <w:sz w:val="21"/>
          <w:szCs w:val="21"/>
        </w:rPr>
        <w:t xml:space="preserve">online and offline campaigns targeting individual donors.</w:t>
      </w:r>
    </w:p>
    <w:p>
      <w:pPr>
        <w:pStyle w:val="ListParagraph"/>
        <w:numPr>
          <w:ilvl w:val="0"/>
          <w:numId w:val="1"/>
        </w:numPr>
        <w:spacing w:after="60" w:line="268"/>
      </w:pPr>
      <w:r>
        <w:rPr>
          <w:rFonts w:ascii="Georgia" w:cs="Georgia" w:eastAsia="Georgia" w:hAnsi="Georgia"/>
          <w:b/>
          <w:bCs/>
          <w:i w:val="false"/>
          <w:iCs w:val="false"/>
          <w:color w:val="2A2320"/>
          <w:sz w:val="21"/>
          <w:szCs w:val="21"/>
        </w:rPr>
        <w:t xml:space="preserve">Institutional grants: </w:t>
      </w:r>
      <w:r>
        <w:rPr>
          <w:rFonts w:ascii="Georgia" w:cs="Georgia" w:eastAsia="Georgia" w:hAnsi="Georgia"/>
          <w:b w:val="false"/>
          <w:bCs w:val="false"/>
          <w:i w:val="false"/>
          <w:iCs w:val="false"/>
          <w:color w:val="2A2320"/>
          <w:sz w:val="21"/>
          <w:szCs w:val="21"/>
        </w:rPr>
        <w:t xml:space="preserve">applications for specific project funding from larger foundations (Vermogensfondsen).</w:t>
      </w:r>
    </w:p>
    <w:p>
      <w:pPr>
        <w:pStyle w:val="ListParagraph"/>
        <w:numPr>
          <w:ilvl w:val="0"/>
          <w:numId w:val="1"/>
        </w:numPr>
        <w:spacing w:after="60" w:line="268"/>
      </w:pPr>
      <w:r>
        <w:rPr>
          <w:rFonts w:ascii="Georgia" w:cs="Georgia" w:eastAsia="Georgia" w:hAnsi="Georgia"/>
          <w:b/>
          <w:bCs/>
          <w:i w:val="false"/>
          <w:iCs w:val="false"/>
          <w:color w:val="2A2320"/>
          <w:sz w:val="21"/>
          <w:szCs w:val="21"/>
        </w:rPr>
        <w:t xml:space="preserve">Corporate partnerships: </w:t>
      </w:r>
      <w:r>
        <w:rPr>
          <w:rFonts w:ascii="Georgia" w:cs="Georgia" w:eastAsia="Georgia" w:hAnsi="Georgia"/>
          <w:b w:val="false"/>
          <w:bCs w:val="false"/>
          <w:i w:val="false"/>
          <w:iCs w:val="false"/>
          <w:color w:val="2A2320"/>
          <w:sz w:val="21"/>
          <w:szCs w:val="21"/>
        </w:rPr>
        <w:t xml:space="preserve">collaborations with companies, including direct sponsorship of projects and cause-related marketing campaigns.</w:t>
      </w:r>
    </w:p>
    <w:p>
      <w:pPr>
        <w:pStyle w:val="ListParagraph"/>
        <w:numPr>
          <w:ilvl w:val="0"/>
          <w:numId w:val="1"/>
        </w:numPr>
        <w:spacing w:after="60" w:line="268"/>
      </w:pPr>
      <w:r>
        <w:rPr>
          <w:rFonts w:ascii="Georgia" w:cs="Georgia" w:eastAsia="Georgia" w:hAnsi="Georgia"/>
          <w:b/>
          <w:bCs/>
          <w:i w:val="false"/>
          <w:iCs w:val="false"/>
          <w:color w:val="2A2320"/>
          <w:sz w:val="21"/>
          <w:szCs w:val="21"/>
        </w:rPr>
        <w:t xml:space="preserve">Volunteer program contributions: </w:t>
      </w:r>
      <w:r>
        <w:rPr>
          <w:rFonts w:ascii="Georgia" w:cs="Georgia" w:eastAsia="Georgia" w:hAnsi="Georgia"/>
          <w:b w:val="false"/>
          <w:bCs w:val="false"/>
          <w:i w:val="false"/>
          <w:iCs w:val="false"/>
          <w:color w:val="2A2320"/>
          <w:sz w:val="21"/>
          <w:szCs w:val="21"/>
        </w:rPr>
        <w:t xml:space="preserve">participation fees from volunteers in exchange programs.</w:t>
      </w:r>
    </w:p>
    <w:p>
      <w:pPr>
        <w:pStyle w:val="ListParagraph"/>
        <w:numPr>
          <w:ilvl w:val="0"/>
          <w:numId w:val="1"/>
        </w:numPr>
        <w:spacing w:after="60" w:line="268"/>
      </w:pPr>
      <w:r>
        <w:rPr>
          <w:rFonts w:ascii="Georgia" w:cs="Georgia" w:eastAsia="Georgia" w:hAnsi="Georgia"/>
          <w:b/>
          <w:bCs/>
          <w:i w:val="false"/>
          <w:iCs w:val="false"/>
          <w:color w:val="2A2320"/>
          <w:sz w:val="21"/>
          <w:szCs w:val="21"/>
        </w:rPr>
        <w:t xml:space="preserve">Sale of goods: </w:t>
      </w:r>
      <w:r>
        <w:rPr>
          <w:rFonts w:ascii="Georgia" w:cs="Georgia" w:eastAsia="Georgia" w:hAnsi="Georgia"/>
          <w:b w:val="false"/>
          <w:bCs w:val="false"/>
          <w:i w:val="false"/>
          <w:iCs w:val="false"/>
          <w:color w:val="2A2320"/>
          <w:sz w:val="21"/>
          <w:szCs w:val="21"/>
        </w:rPr>
        <w:t xml:space="preserve">small-scale sale of mission-related products (e.g., community crafts) and merchandise, where all proceeds directly benefit the statutory objective.</w:t>
      </w:r>
    </w:p>
    <w:p>
      <w:pPr>
        <w:pBdr>
          <w:bottom w:val="single" w:color="E01010" w:sz="6"/>
        </w:pBdr>
        <w:spacing w:after="100" w:before="260"/>
      </w:pPr>
      <w:r>
        <w:rPr>
          <w:rFonts w:ascii="Montserrat" w:cs="Montserrat" w:eastAsia="Montserrat" w:hAnsi="Montserrat"/>
          <w:b/>
          <w:bCs/>
          <w:caps/>
          <w:color w:val="E01010"/>
          <w:spacing w:val="10"/>
          <w:sz w:val="24"/>
          <w:szCs w:val="24"/>
        </w:rPr>
        <w:t xml:space="preserve">6. Management of assets</w:t>
      </w:r>
    </w:p>
    <w:p>
      <w:pPr>
        <w:pStyle w:val="ListParagraph"/>
        <w:numPr>
          <w:ilvl w:val="0"/>
          <w:numId w:val="1"/>
        </w:numPr>
        <w:spacing w:after="60" w:line="268"/>
      </w:pPr>
      <w:r>
        <w:rPr>
          <w:rFonts w:ascii="Georgia" w:cs="Georgia" w:eastAsia="Georgia" w:hAnsi="Georgia"/>
          <w:b/>
          <w:bCs/>
          <w:i w:val="false"/>
          <w:iCs w:val="false"/>
          <w:color w:val="2A2320"/>
          <w:sz w:val="21"/>
          <w:szCs w:val="21"/>
        </w:rPr>
        <w:t xml:space="preserve">Management: </w:t>
      </w:r>
      <w:r>
        <w:rPr>
          <w:rFonts w:ascii="Georgia" w:cs="Georgia" w:eastAsia="Georgia" w:hAnsi="Georgia"/>
          <w:b w:val="false"/>
          <w:bCs w:val="false"/>
          <w:i w:val="false"/>
          <w:iCs w:val="false"/>
          <w:color w:val="2A2320"/>
          <w:sz w:val="21"/>
          <w:szCs w:val="21"/>
        </w:rPr>
        <w:t xml:space="preserve">the assets are managed by the Board.</w:t>
      </w:r>
    </w:p>
    <w:p>
      <w:pPr>
        <w:pStyle w:val="ListParagraph"/>
        <w:numPr>
          <w:ilvl w:val="0"/>
          <w:numId w:val="1"/>
        </w:numPr>
        <w:spacing w:after="60" w:line="268"/>
      </w:pPr>
      <w:r>
        <w:rPr>
          <w:rFonts w:ascii="Georgia" w:cs="Georgia" w:eastAsia="Georgia" w:hAnsi="Georgia"/>
          <w:b/>
          <w:bCs/>
          <w:i w:val="false"/>
          <w:iCs w:val="false"/>
          <w:color w:val="2A2320"/>
          <w:sz w:val="21"/>
          <w:szCs w:val="21"/>
        </w:rPr>
        <w:t xml:space="preserve">Banking: </w:t>
      </w:r>
      <w:r>
        <w:rPr>
          <w:rFonts w:ascii="Georgia" w:cs="Georgia" w:eastAsia="Georgia" w:hAnsi="Georgia"/>
          <w:b w:val="false"/>
          <w:bCs w:val="false"/>
          <w:i w:val="false"/>
          <w:iCs w:val="false"/>
          <w:color w:val="2A2320"/>
          <w:sz w:val="21"/>
          <w:szCs w:val="21"/>
        </w:rPr>
        <w:t xml:space="preserve">the Foundation’s financial resources are held in a business bank account in the Foundation’s name. The Foundation is establishing a business account with Go Dutch Bank as its main operating account.</w:t>
      </w:r>
    </w:p>
    <w:p>
      <w:pPr>
        <w:pStyle w:val="ListParagraph"/>
        <w:numPr>
          <w:ilvl w:val="0"/>
          <w:numId w:val="1"/>
        </w:numPr>
        <w:spacing w:after="60" w:line="268"/>
      </w:pPr>
      <w:r>
        <w:rPr>
          <w:rFonts w:ascii="Georgia" w:cs="Georgia" w:eastAsia="Georgia" w:hAnsi="Georgia"/>
          <w:b/>
          <w:bCs/>
          <w:i w:val="false"/>
          <w:iCs w:val="false"/>
          <w:color w:val="2A2320"/>
          <w:sz w:val="21"/>
          <w:szCs w:val="21"/>
        </w:rPr>
        <w:t xml:space="preserve">Reserves: </w:t>
      </w:r>
      <w:r>
        <w:rPr>
          <w:rFonts w:ascii="Georgia" w:cs="Georgia" w:eastAsia="Georgia" w:hAnsi="Georgia"/>
          <w:b w:val="false"/>
          <w:bCs w:val="false"/>
          <w:i w:val="false"/>
          <w:iCs w:val="false"/>
          <w:color w:val="2A2320"/>
          <w:sz w:val="21"/>
          <w:szCs w:val="21"/>
        </w:rPr>
        <w:t xml:space="preserve">any surplus funds not immediately spent on projects are held prudently and in a low-risk manner. The Foundation does not invest in high-risk financial instruments.</w:t>
      </w:r>
    </w:p>
    <w:p>
      <w:pPr>
        <w:pStyle w:val="ListParagraph"/>
        <w:numPr>
          <w:ilvl w:val="0"/>
          <w:numId w:val="1"/>
        </w:numPr>
        <w:spacing w:after="60" w:line="268"/>
      </w:pPr>
      <w:r>
        <w:rPr>
          <w:rFonts w:ascii="Georgia" w:cs="Georgia" w:eastAsia="Georgia" w:hAnsi="Georgia"/>
          <w:b/>
          <w:bCs/>
          <w:i w:val="false"/>
          <w:iCs w:val="false"/>
          <w:color w:val="2A2320"/>
          <w:sz w:val="21"/>
          <w:szCs w:val="21"/>
        </w:rPr>
        <w:t xml:space="preserve">Continuity: </w:t>
      </w:r>
      <w:r>
        <w:rPr>
          <w:rFonts w:ascii="Georgia" w:cs="Georgia" w:eastAsia="Georgia" w:hAnsi="Georgia"/>
          <w:b w:val="false"/>
          <w:bCs w:val="false"/>
          <w:i w:val="false"/>
          <w:iCs w:val="false"/>
          <w:color w:val="2A2320"/>
          <w:sz w:val="21"/>
          <w:szCs w:val="21"/>
        </w:rPr>
        <w:t xml:space="preserve">reserves are maintained only where reasonably necessary for continuity and planned activities.</w:t>
      </w:r>
    </w:p>
    <w:p>
      <w:pPr>
        <w:pBdr>
          <w:bottom w:val="single" w:color="E01010" w:sz="6"/>
        </w:pBdr>
        <w:spacing w:after="100" w:before="260"/>
      </w:pPr>
      <w:r>
        <w:rPr>
          <w:rFonts w:ascii="Montserrat" w:cs="Montserrat" w:eastAsia="Montserrat" w:hAnsi="Montserrat"/>
          <w:b/>
          <w:bCs/>
          <w:caps/>
          <w:color w:val="E01010"/>
          <w:spacing w:val="10"/>
          <w:sz w:val="24"/>
          <w:szCs w:val="24"/>
        </w:rPr>
        <w:t xml:space="preserve">7. Spending policy</w:t>
      </w:r>
    </w:p>
    <w:p>
      <w:pPr>
        <w:pStyle w:val="ListParagraph"/>
        <w:numPr>
          <w:ilvl w:val="0"/>
          <w:numId w:val="1"/>
        </w:numPr>
        <w:spacing w:after="60" w:line="268"/>
      </w:pPr>
      <w:r>
        <w:rPr>
          <w:rFonts w:ascii="Georgia" w:cs="Georgia" w:eastAsia="Georgia" w:hAnsi="Georgia"/>
          <w:b/>
          <w:bCs/>
          <w:i w:val="false"/>
          <w:iCs w:val="false"/>
          <w:color w:val="2A2320"/>
          <w:sz w:val="21"/>
          <w:szCs w:val="21"/>
        </w:rPr>
        <w:t xml:space="preserve">Allocation: </w:t>
      </w:r>
      <w:r>
        <w:rPr>
          <w:rFonts w:ascii="Georgia" w:cs="Georgia" w:eastAsia="Georgia" w:hAnsi="Georgia"/>
          <w:b w:val="false"/>
          <w:bCs w:val="false"/>
          <w:i w:val="false"/>
          <w:iCs w:val="false"/>
          <w:color w:val="2A2320"/>
          <w:sz w:val="21"/>
          <w:szCs w:val="21"/>
        </w:rPr>
        <w:t xml:space="preserve">the Foundation uses its financial resources almost exclusively to achieve its statutory objective.</w:t>
      </w:r>
    </w:p>
    <w:p>
      <w:pPr>
        <w:pStyle w:val="ListParagraph"/>
        <w:numPr>
          <w:ilvl w:val="0"/>
          <w:numId w:val="1"/>
        </w:numPr>
        <w:spacing w:after="60" w:line="268"/>
      </w:pPr>
      <w:r>
        <w:rPr>
          <w:rFonts w:ascii="Georgia" w:cs="Georgia" w:eastAsia="Georgia" w:hAnsi="Georgia"/>
          <w:b/>
          <w:bCs/>
          <w:i w:val="false"/>
          <w:iCs w:val="false"/>
          <w:color w:val="2A2320"/>
          <w:sz w:val="21"/>
          <w:szCs w:val="21"/>
        </w:rPr>
        <w:t xml:space="preserve">Costs: </w:t>
      </w:r>
      <w:r>
        <w:rPr>
          <w:rFonts w:ascii="Georgia" w:cs="Georgia" w:eastAsia="Georgia" w:hAnsi="Georgia"/>
          <w:b w:val="false"/>
          <w:bCs w:val="false"/>
          <w:i w:val="false"/>
          <w:iCs w:val="false"/>
          <w:color w:val="2A2320"/>
          <w:sz w:val="21"/>
          <w:szCs w:val="21"/>
        </w:rPr>
        <w:t xml:space="preserve">we strive to keep management and administration costs (overhead) to a minimum and in reasonable proportion (redelijke verhouding) to our total expenditure.</w:t>
      </w:r>
    </w:p>
    <w:p>
      <w:pPr>
        <w:pStyle w:val="ListParagraph"/>
        <w:numPr>
          <w:ilvl w:val="0"/>
          <w:numId w:val="1"/>
        </w:numPr>
        <w:spacing w:after="60" w:line="268"/>
      </w:pPr>
      <w:r>
        <w:rPr>
          <w:rFonts w:ascii="Georgia" w:cs="Georgia" w:eastAsia="Georgia" w:hAnsi="Georgia"/>
          <w:b/>
          <w:bCs/>
          <w:i w:val="false"/>
          <w:iCs w:val="false"/>
          <w:color w:val="2A2320"/>
          <w:sz w:val="21"/>
          <w:szCs w:val="21"/>
        </w:rPr>
        <w:t xml:space="preserve">No distributions: </w:t>
      </w:r>
      <w:r>
        <w:rPr>
          <w:rFonts w:ascii="Georgia" w:cs="Georgia" w:eastAsia="Georgia" w:hAnsi="Georgia"/>
          <w:b w:val="false"/>
          <w:bCs w:val="false"/>
          <w:i w:val="false"/>
          <w:iCs w:val="false"/>
          <w:color w:val="2A2320"/>
          <w:sz w:val="21"/>
          <w:szCs w:val="21"/>
        </w:rPr>
        <w:t xml:space="preserve">no profits or funds are distributed to founders or board members.</w:t>
      </w:r>
    </w:p>
    <w:p>
      <w:pPr>
        <w:pStyle w:val="ListParagraph"/>
        <w:numPr>
          <w:ilvl w:val="0"/>
          <w:numId w:val="1"/>
        </w:numPr>
        <w:spacing w:after="60" w:line="268"/>
      </w:pPr>
      <w:r>
        <w:rPr>
          <w:rFonts w:ascii="Georgia" w:cs="Georgia" w:eastAsia="Georgia" w:hAnsi="Georgia"/>
          <w:b/>
          <w:bCs/>
          <w:i w:val="false"/>
          <w:iCs w:val="false"/>
          <w:color w:val="2A2320"/>
          <w:sz w:val="21"/>
          <w:szCs w:val="21"/>
        </w:rPr>
        <w:t xml:space="preserve">Liquidation: </w:t>
      </w:r>
      <w:r>
        <w:rPr>
          <w:rFonts w:ascii="Georgia" w:cs="Georgia" w:eastAsia="Georgia" w:hAnsi="Georgia"/>
          <w:b w:val="false"/>
          <w:bCs w:val="false"/>
          <w:i w:val="false"/>
          <w:iCs w:val="false"/>
          <w:color w:val="2A2320"/>
          <w:sz w:val="21"/>
          <w:szCs w:val="21"/>
        </w:rPr>
        <w:t xml:space="preserve">in the event of dissolution, any remaining assets must be transferred to another ANBI with a similar objective (Article 16.6).</w:t>
      </w:r>
    </w:p>
    <w:p>
      <w:pPr>
        <w:pBdr>
          <w:bottom w:val="single" w:color="E01010" w:sz="6"/>
        </w:pBdr>
        <w:spacing w:after="100" w:before="260"/>
      </w:pPr>
      <w:r>
        <w:rPr>
          <w:rFonts w:ascii="Montserrat" w:cs="Montserrat" w:eastAsia="Montserrat" w:hAnsi="Montserrat"/>
          <w:b/>
          <w:bCs/>
          <w:caps/>
          <w:color w:val="E01010"/>
          <w:spacing w:val="10"/>
          <w:sz w:val="24"/>
          <w:szCs w:val="24"/>
        </w:rPr>
        <w:t xml:space="preserve">8. Governance</w:t>
      </w:r>
    </w:p>
    <w:p>
      <w:pPr>
        <w:spacing w:after="60" w:before="160"/>
      </w:pPr>
      <w:r>
        <w:rPr>
          <w:rFonts w:ascii="Montserrat" w:cs="Montserrat" w:eastAsia="Montserrat" w:hAnsi="Montserrat"/>
          <w:b/>
          <w:bCs/>
          <w:color w:val="E0A020"/>
          <w:sz w:val="21"/>
          <w:szCs w:val="21"/>
        </w:rPr>
        <w:t xml:space="preserve">8.1 Board composition</w:t>
      </w:r>
    </w:p>
    <w:tbl>
      <w:tblPr>
        <w:tblW w:type="pct" w:w="100%"/>
        <w:tblBorders>
          <w:top w:val="single" w:color="D8CFC4" w:sz="2"/>
          <w:left w:val="single" w:color="D8CFC4" w:sz="2"/>
          <w:bottom w:val="single" w:color="D8CFC4" w:sz="2"/>
          <w:right w:val="single" w:color="D8CFC4" w:sz="2"/>
          <w:insideH w:val="single" w:color="D8CFC4" w:sz="2"/>
          <w:insideV w:val="single" w:color="D8CFC4" w:sz="2"/>
        </w:tblBorders>
      </w:tblPr>
      <w:tblGrid>
        <w:gridCol w:w="3000"/>
        <w:gridCol w:w="1600"/>
        <w:gridCol w:w="4760"/>
      </w:tblGrid>
      <w:tr>
        <w:trPr>
          <w:tblHeader/>
        </w:trPr>
        <w:tc>
          <w:tcPr>
            <w:tcW w:type="dxa" w:w="3000"/>
            <w:tcBorders>
              <w:top w:val="single" w:color="D8CFC4" w:sz="2"/>
              <w:left w:val="single" w:color="D8CFC4" w:sz="2"/>
              <w:bottom w:val="single" w:color="D8CFC4" w:sz="2"/>
              <w:right w:val="single" w:color="D8CFC4" w:sz="2"/>
            </w:tcBorders>
            <w:shd w:fill="2A2320" w:color="auto" w:val="clear"/>
            <w:tcMar>
              <w:top w:type="dxa" w:w="60"/>
              <w:left w:type="dxa" w:w="110"/>
              <w:bottom w:type="dxa" w:w="60"/>
              <w:right w:type="dxa" w:w="110"/>
            </w:tcMar>
          </w:tcPr>
          <w:p>
            <w:r>
              <w:rPr>
                <w:rFonts w:ascii="Montserrat" w:cs="Montserrat" w:eastAsia="Montserrat" w:hAnsi="Montserrat"/>
                <w:b/>
                <w:bCs/>
                <w:i w:val="false"/>
                <w:iCs w:val="false"/>
                <w:color w:val="FFFFFF"/>
                <w:sz w:val="18"/>
                <w:szCs w:val="18"/>
              </w:rPr>
              <w:t xml:space="preserve">Name</w:t>
            </w:r>
          </w:p>
        </w:tc>
        <w:tc>
          <w:tcPr>
            <w:tcW w:type="dxa" w:w="1600"/>
            <w:tcBorders>
              <w:top w:val="single" w:color="D8CFC4" w:sz="2"/>
              <w:left w:val="single" w:color="D8CFC4" w:sz="2"/>
              <w:bottom w:val="single" w:color="D8CFC4" w:sz="2"/>
              <w:right w:val="single" w:color="D8CFC4" w:sz="2"/>
            </w:tcBorders>
            <w:shd w:fill="2A2320" w:color="auto" w:val="clear"/>
            <w:tcMar>
              <w:top w:type="dxa" w:w="60"/>
              <w:left w:type="dxa" w:w="110"/>
              <w:bottom w:type="dxa" w:w="60"/>
              <w:right w:type="dxa" w:w="110"/>
            </w:tcMar>
          </w:tcPr>
          <w:p>
            <w:r>
              <w:rPr>
                <w:rFonts w:ascii="Montserrat" w:cs="Montserrat" w:eastAsia="Montserrat" w:hAnsi="Montserrat"/>
                <w:b/>
                <w:bCs/>
                <w:i w:val="false"/>
                <w:iCs w:val="false"/>
                <w:color w:val="FFFFFF"/>
                <w:sz w:val="18"/>
                <w:szCs w:val="18"/>
              </w:rPr>
              <w:t xml:space="preserve">Role</w:t>
            </w:r>
          </w:p>
        </w:tc>
        <w:tc>
          <w:tcPr>
            <w:tcW w:type="dxa" w:w="4760"/>
            <w:tcBorders>
              <w:top w:val="single" w:color="D8CFC4" w:sz="2"/>
              <w:left w:val="single" w:color="D8CFC4" w:sz="2"/>
              <w:bottom w:val="single" w:color="D8CFC4" w:sz="2"/>
              <w:right w:val="single" w:color="D8CFC4" w:sz="2"/>
            </w:tcBorders>
            <w:shd w:fill="2A2320" w:color="auto" w:val="clear"/>
            <w:tcMar>
              <w:top w:type="dxa" w:w="60"/>
              <w:left w:type="dxa" w:w="110"/>
              <w:bottom w:type="dxa" w:w="60"/>
              <w:right w:type="dxa" w:w="110"/>
            </w:tcMar>
          </w:tcPr>
          <w:p>
            <w:r>
              <w:rPr>
                <w:rFonts w:ascii="Montserrat" w:cs="Montserrat" w:eastAsia="Montserrat" w:hAnsi="Montserrat"/>
                <w:b/>
                <w:bCs/>
                <w:i w:val="false"/>
                <w:iCs w:val="false"/>
                <w:color w:val="FFFFFF"/>
                <w:sz w:val="18"/>
                <w:szCs w:val="18"/>
              </w:rPr>
              <w:t xml:space="preserve">Responsibilities</w:t>
            </w:r>
          </w:p>
        </w:tc>
      </w:tr>
      <w:tr>
        <w:tc>
          <w:tcPr>
            <w:tcW w:type="dxa" w:w="3000"/>
            <w:tcBorders>
              <w:top w:val="single" w:color="D8CFC4" w:sz="2"/>
              <w:left w:val="single" w:color="D8CFC4" w:sz="2"/>
              <w:bottom w:val="single" w:color="D8CFC4" w:sz="2"/>
              <w:right w:val="single" w:color="D8CFC4" w:sz="2"/>
            </w:tcBorders>
            <w:shd w:fill="FDF6EE" w:color="auto" w:val="clear"/>
            <w:tcMar>
              <w:top w:type="dxa" w:w="60"/>
              <w:left w:type="dxa" w:w="110"/>
              <w:bottom w:type="dxa" w:w="60"/>
              <w:right w:type="dxa" w:w="110"/>
            </w:tcMar>
          </w:tcPr>
          <w:p>
            <w:r>
              <w:rPr>
                <w:rFonts w:ascii="Georgia" w:cs="Georgia" w:eastAsia="Georgia" w:hAnsi="Georgia"/>
                <w:b/>
                <w:bCs/>
                <w:i w:val="false"/>
                <w:iCs w:val="false"/>
                <w:color w:val="2A2320"/>
                <w:sz w:val="18"/>
                <w:szCs w:val="18"/>
              </w:rPr>
              <w:t xml:space="preserve">Ms. Karla Paola Dominguez Zenteno</w:t>
            </w:r>
          </w:p>
        </w:tc>
        <w:tc>
          <w:tcPr>
            <w:tcW w:type="dxa" w:w="1600"/>
            <w:tcBorders>
              <w:top w:val="single" w:color="D8CFC4" w:sz="2"/>
              <w:left w:val="single" w:color="D8CFC4" w:sz="2"/>
              <w:bottom w:val="single" w:color="D8CFC4" w:sz="2"/>
              <w:right w:val="single" w:color="D8CFC4" w:sz="2"/>
            </w:tcBorders>
            <w:tcMar>
              <w:top w:type="dxa" w:w="60"/>
              <w:left w:type="dxa" w:w="110"/>
              <w:bottom w:type="dxa" w:w="60"/>
              <w:right w:type="dxa" w:w="110"/>
            </w:tcMar>
          </w:tcPr>
          <w:p>
            <w:r>
              <w:rPr>
                <w:rFonts w:ascii="Georgia" w:cs="Georgia" w:eastAsia="Georgia" w:hAnsi="Georgia"/>
                <w:b w:val="false"/>
                <w:bCs w:val="false"/>
                <w:i w:val="false"/>
                <w:iCs w:val="false"/>
                <w:color w:val="2A2320"/>
                <w:sz w:val="18"/>
                <w:szCs w:val="18"/>
              </w:rPr>
              <w:t xml:space="preserve">Chair</w:t>
            </w:r>
          </w:p>
        </w:tc>
        <w:tc>
          <w:tcPr>
            <w:tcW w:type="dxa" w:w="4760"/>
            <w:tcBorders>
              <w:top w:val="single" w:color="D8CFC4" w:sz="2"/>
              <w:left w:val="single" w:color="D8CFC4" w:sz="2"/>
              <w:bottom w:val="single" w:color="D8CFC4" w:sz="2"/>
              <w:right w:val="single" w:color="D8CFC4" w:sz="2"/>
            </w:tcBorders>
            <w:tcMar>
              <w:top w:type="dxa" w:w="60"/>
              <w:left w:type="dxa" w:w="110"/>
              <w:bottom w:type="dxa" w:w="60"/>
              <w:right w:type="dxa" w:w="110"/>
            </w:tcMar>
          </w:tcPr>
          <w:p>
            <w:r>
              <w:rPr>
                <w:rFonts w:ascii="Georgia" w:cs="Georgia" w:eastAsia="Georgia" w:hAnsi="Georgia"/>
                <w:b w:val="false"/>
                <w:bCs w:val="false"/>
                <w:i w:val="false"/>
                <w:iCs w:val="false"/>
                <w:color w:val="2A2320"/>
                <w:sz w:val="18"/>
                <w:szCs w:val="18"/>
              </w:rPr>
              <w:t xml:space="preserve">Strategy, school relationship, donor partnerships, ANBI coordination</w:t>
            </w:r>
          </w:p>
        </w:tc>
      </w:tr>
      <w:tr>
        <w:tc>
          <w:tcPr>
            <w:tcW w:type="dxa" w:w="3000"/>
            <w:tcBorders>
              <w:top w:val="single" w:color="D8CFC4" w:sz="2"/>
              <w:left w:val="single" w:color="D8CFC4" w:sz="2"/>
              <w:bottom w:val="single" w:color="D8CFC4" w:sz="2"/>
              <w:right w:val="single" w:color="D8CFC4" w:sz="2"/>
            </w:tcBorders>
            <w:shd w:fill="FDF6EE" w:color="auto" w:val="clear"/>
            <w:tcMar>
              <w:top w:type="dxa" w:w="60"/>
              <w:left w:type="dxa" w:w="110"/>
              <w:bottom w:type="dxa" w:w="60"/>
              <w:right w:type="dxa" w:w="110"/>
            </w:tcMar>
          </w:tcPr>
          <w:p>
            <w:r>
              <w:rPr>
                <w:rFonts w:ascii="Georgia" w:cs="Georgia" w:eastAsia="Georgia" w:hAnsi="Georgia"/>
                <w:b/>
                <w:bCs/>
                <w:i w:val="false"/>
                <w:iCs w:val="false"/>
                <w:color w:val="2A2320"/>
                <w:sz w:val="18"/>
                <w:szCs w:val="18"/>
              </w:rPr>
              <w:t xml:space="preserve">Ms. Lucía Belén Eusebio</w:t>
            </w:r>
          </w:p>
        </w:tc>
        <w:tc>
          <w:tcPr>
            <w:tcW w:type="dxa" w:w="1600"/>
            <w:tcBorders>
              <w:top w:val="single" w:color="D8CFC4" w:sz="2"/>
              <w:left w:val="single" w:color="D8CFC4" w:sz="2"/>
              <w:bottom w:val="single" w:color="D8CFC4" w:sz="2"/>
              <w:right w:val="single" w:color="D8CFC4" w:sz="2"/>
            </w:tcBorders>
            <w:tcMar>
              <w:top w:type="dxa" w:w="60"/>
              <w:left w:type="dxa" w:w="110"/>
              <w:bottom w:type="dxa" w:w="60"/>
              <w:right w:type="dxa" w:w="110"/>
            </w:tcMar>
          </w:tcPr>
          <w:p>
            <w:r>
              <w:rPr>
                <w:rFonts w:ascii="Georgia" w:cs="Georgia" w:eastAsia="Georgia" w:hAnsi="Georgia"/>
                <w:b w:val="false"/>
                <w:bCs w:val="false"/>
                <w:i w:val="false"/>
                <w:iCs w:val="false"/>
                <w:color w:val="2A2320"/>
                <w:sz w:val="18"/>
                <w:szCs w:val="18"/>
              </w:rPr>
              <w:t xml:space="preserve">Treasurer</w:t>
            </w:r>
          </w:p>
        </w:tc>
        <w:tc>
          <w:tcPr>
            <w:tcW w:type="dxa" w:w="4760"/>
            <w:tcBorders>
              <w:top w:val="single" w:color="D8CFC4" w:sz="2"/>
              <w:left w:val="single" w:color="D8CFC4" w:sz="2"/>
              <w:bottom w:val="single" w:color="D8CFC4" w:sz="2"/>
              <w:right w:val="single" w:color="D8CFC4" w:sz="2"/>
            </w:tcBorders>
            <w:tcMar>
              <w:top w:type="dxa" w:w="60"/>
              <w:left w:type="dxa" w:w="110"/>
              <w:bottom w:type="dxa" w:w="60"/>
              <w:right w:type="dxa" w:w="110"/>
            </w:tcMar>
          </w:tcPr>
          <w:p>
            <w:r>
              <w:rPr>
                <w:rFonts w:ascii="Georgia" w:cs="Georgia" w:eastAsia="Georgia" w:hAnsi="Georgia"/>
                <w:b w:val="false"/>
                <w:bCs w:val="false"/>
                <w:i w:val="false"/>
                <w:iCs w:val="false"/>
                <w:color w:val="2A2320"/>
                <w:sz w:val="18"/>
                <w:szCs w:val="18"/>
              </w:rPr>
              <w:t xml:space="preserve">Financial oversight, budget management, bank account</w:t>
            </w:r>
          </w:p>
        </w:tc>
      </w:tr>
      <w:tr>
        <w:tc>
          <w:tcPr>
            <w:tcW w:type="dxa" w:w="3000"/>
            <w:tcBorders>
              <w:top w:val="single" w:color="D8CFC4" w:sz="2"/>
              <w:left w:val="single" w:color="D8CFC4" w:sz="2"/>
              <w:bottom w:val="single" w:color="D8CFC4" w:sz="2"/>
              <w:right w:val="single" w:color="D8CFC4" w:sz="2"/>
            </w:tcBorders>
            <w:shd w:fill="FDF6EE" w:color="auto" w:val="clear"/>
            <w:tcMar>
              <w:top w:type="dxa" w:w="60"/>
              <w:left w:type="dxa" w:w="110"/>
              <w:bottom w:type="dxa" w:w="60"/>
              <w:right w:type="dxa" w:w="110"/>
            </w:tcMar>
          </w:tcPr>
          <w:p>
            <w:r>
              <w:rPr>
                <w:rFonts w:ascii="Georgia" w:cs="Georgia" w:eastAsia="Georgia" w:hAnsi="Georgia"/>
                <w:b/>
                <w:bCs/>
                <w:i w:val="false"/>
                <w:iCs w:val="false"/>
                <w:color w:val="2A2320"/>
                <w:sz w:val="18"/>
                <w:szCs w:val="18"/>
              </w:rPr>
              <w:t xml:space="preserve">Ms. Sabine Marije Haveman</w:t>
            </w:r>
          </w:p>
        </w:tc>
        <w:tc>
          <w:tcPr>
            <w:tcW w:type="dxa" w:w="1600"/>
            <w:tcBorders>
              <w:top w:val="single" w:color="D8CFC4" w:sz="2"/>
              <w:left w:val="single" w:color="D8CFC4" w:sz="2"/>
              <w:bottom w:val="single" w:color="D8CFC4" w:sz="2"/>
              <w:right w:val="single" w:color="D8CFC4" w:sz="2"/>
            </w:tcBorders>
            <w:tcMar>
              <w:top w:type="dxa" w:w="60"/>
              <w:left w:type="dxa" w:w="110"/>
              <w:bottom w:type="dxa" w:w="60"/>
              <w:right w:type="dxa" w:w="110"/>
            </w:tcMar>
          </w:tcPr>
          <w:p>
            <w:r>
              <w:rPr>
                <w:rFonts w:ascii="Georgia" w:cs="Georgia" w:eastAsia="Georgia" w:hAnsi="Georgia"/>
                <w:b w:val="false"/>
                <w:bCs w:val="false"/>
                <w:i w:val="false"/>
                <w:iCs w:val="false"/>
                <w:color w:val="2A2320"/>
                <w:sz w:val="18"/>
                <w:szCs w:val="18"/>
              </w:rPr>
              <w:t xml:space="preserve">Secretary</w:t>
            </w:r>
          </w:p>
        </w:tc>
        <w:tc>
          <w:tcPr>
            <w:tcW w:type="dxa" w:w="4760"/>
            <w:tcBorders>
              <w:top w:val="single" w:color="D8CFC4" w:sz="2"/>
              <w:left w:val="single" w:color="D8CFC4" w:sz="2"/>
              <w:bottom w:val="single" w:color="D8CFC4" w:sz="2"/>
              <w:right w:val="single" w:color="D8CFC4" w:sz="2"/>
            </w:tcBorders>
            <w:tcMar>
              <w:top w:type="dxa" w:w="60"/>
              <w:left w:type="dxa" w:w="110"/>
              <w:bottom w:type="dxa" w:w="60"/>
              <w:right w:type="dxa" w:w="110"/>
            </w:tcMar>
          </w:tcPr>
          <w:p>
            <w:r>
              <w:rPr>
                <w:rFonts w:ascii="Georgia" w:cs="Georgia" w:eastAsia="Georgia" w:hAnsi="Georgia"/>
                <w:b w:val="false"/>
                <w:bCs w:val="false"/>
                <w:i w:val="false"/>
                <w:iCs w:val="false"/>
                <w:color w:val="2A2320"/>
                <w:sz w:val="18"/>
                <w:szCs w:val="18"/>
              </w:rPr>
              <w:t xml:space="preserve">Meeting minutes, document management, governance records</w:t>
            </w:r>
          </w:p>
        </w:tc>
      </w:tr>
    </w:tbl>
    <w:p>
      <w:pPr>
        <w:spacing w:after="100"/>
      </w:pPr>
    </w:p>
    <w:p>
      <w:pPr>
        <w:spacing w:after="60" w:before="160"/>
      </w:pPr>
      <w:r>
        <w:rPr>
          <w:rFonts w:ascii="Montserrat" w:cs="Montserrat" w:eastAsia="Montserrat" w:hAnsi="Montserrat"/>
          <w:b/>
          <w:bCs/>
          <w:color w:val="E0A020"/>
          <w:sz w:val="21"/>
          <w:szCs w:val="21"/>
        </w:rPr>
        <w:t xml:space="preserve">8.2 Decision-making</w:t>
      </w:r>
    </w:p>
    <w:p>
      <w:pPr>
        <w:pStyle w:val="ListParagraph"/>
        <w:numPr>
          <w:ilvl w:val="0"/>
          <w:numId w:val="1"/>
        </w:numPr>
        <w:spacing w:after="60" w:line="268"/>
      </w:pPr>
      <w:r>
        <w:rPr>
          <w:rFonts w:ascii="Georgia" w:cs="Georgia" w:eastAsia="Georgia" w:hAnsi="Georgia"/>
          <w:b/>
          <w:bCs/>
          <w:i w:val="false"/>
          <w:iCs w:val="false"/>
          <w:color w:val="2A2320"/>
          <w:sz w:val="21"/>
          <w:szCs w:val="21"/>
        </w:rPr>
        <w:t xml:space="preserve">Absolute majority</w:t>
      </w:r>
      <w:r>
        <w:rPr>
          <w:rFonts w:ascii="Georgia" w:cs="Georgia" w:eastAsia="Georgia" w:hAnsi="Georgia"/>
          <w:b w:val="false"/>
          <w:bCs w:val="false"/>
          <w:i w:val="false"/>
          <w:iCs w:val="false"/>
          <w:color w:val="2A2320"/>
          <w:sz w:val="21"/>
          <w:szCs w:val="21"/>
        </w:rPr>
        <w:t xml:space="preserve"> of votes cast is required for all decisions (Article 6.11).</w:t>
      </w:r>
    </w:p>
    <w:p>
      <w:pPr>
        <w:pStyle w:val="ListParagraph"/>
        <w:numPr>
          <w:ilvl w:val="0"/>
          <w:numId w:val="1"/>
        </w:numPr>
        <w:spacing w:after="60" w:line="268"/>
      </w:pPr>
      <w:r>
        <w:rPr>
          <w:rFonts w:ascii="Georgia" w:cs="Georgia" w:eastAsia="Georgia" w:hAnsi="Georgia"/>
          <w:color w:val="2A2320"/>
          <w:sz w:val="21"/>
          <w:szCs w:val="21"/>
        </w:rPr>
        <w:t xml:space="preserve">The Board meets offline or online at least once per year (Article 6.2).</w:t>
      </w:r>
    </w:p>
    <w:p>
      <w:pPr>
        <w:pStyle w:val="ListParagraph"/>
        <w:numPr>
          <w:ilvl w:val="0"/>
          <w:numId w:val="1"/>
        </w:numPr>
        <w:spacing w:after="60" w:line="268"/>
      </w:pPr>
      <w:r>
        <w:rPr>
          <w:rFonts w:ascii="Georgia" w:cs="Georgia" w:eastAsia="Georgia" w:hAnsi="Georgia"/>
          <w:color w:val="2A2320"/>
          <w:sz w:val="21"/>
          <w:szCs w:val="21"/>
        </w:rPr>
        <w:t xml:space="preserve">Strategic, financial, and policy decisions are formally recorded in minutes.</w:t>
      </w:r>
    </w:p>
    <w:p>
      <w:pPr>
        <w:spacing w:after="60" w:before="160"/>
      </w:pPr>
      <w:r>
        <w:rPr>
          <w:rFonts w:ascii="Montserrat" w:cs="Montserrat" w:eastAsia="Montserrat" w:hAnsi="Montserrat"/>
          <w:b/>
          <w:bCs/>
          <w:color w:val="E0A020"/>
          <w:sz w:val="21"/>
          <w:szCs w:val="21"/>
        </w:rPr>
        <w:t xml:space="preserve">8.3 Conflict of interest</w:t>
      </w:r>
    </w:p>
    <w:p>
      <w:pPr>
        <w:spacing w:after="120" w:line="276"/>
        <w:jc w:val="left"/>
      </w:pPr>
      <w:r>
        <w:rPr>
          <w:rFonts w:ascii="Georgia" w:cs="Georgia" w:eastAsia="Georgia" w:hAnsi="Georgia"/>
          <w:b w:val="false"/>
          <w:bCs w:val="false"/>
          <w:i w:val="false"/>
          <w:iCs w:val="false"/>
          <w:color w:val="2A2320"/>
          <w:sz w:val="21"/>
          <w:szCs w:val="21"/>
        </w:rPr>
        <w:t xml:space="preserve">In accordance with Article 6.9, board members must act in the interest of the Foundation. Any conflict of interest must be disclosed, and the conflicted member must abstain from deliberation and decision-making.</w:t>
      </w:r>
    </w:p>
    <w:p>
      <w:pPr>
        <w:pBdr>
          <w:bottom w:val="single" w:color="E01010" w:sz="6"/>
        </w:pBdr>
        <w:spacing w:after="100" w:before="260"/>
      </w:pPr>
      <w:r>
        <w:rPr>
          <w:rFonts w:ascii="Montserrat" w:cs="Montserrat" w:eastAsia="Montserrat" w:hAnsi="Montserrat"/>
          <w:b/>
          <w:bCs/>
          <w:caps/>
          <w:color w:val="E01010"/>
          <w:spacing w:val="10"/>
          <w:sz w:val="24"/>
          <w:szCs w:val="24"/>
        </w:rPr>
        <w:t xml:space="preserve">9. Remuneration policy</w:t>
      </w:r>
    </w:p>
    <w:tbl>
      <w:tblPr>
        <w:tblW w:type="pct" w:w="100%"/>
        <w:tblBorders>
          <w:top w:val="none" w:color="auto" w:sz="0"/>
          <w:left w:val="single" w:color="2080E0" w:sz="24"/>
          <w:bottom w:val="none" w:color="auto" w:sz="0"/>
          <w:right w:val="none" w:color="auto" w:sz="0"/>
          <w:insideH w:val="none" w:color="auto" w:sz="0"/>
          <w:insideV w:val="none" w:color="auto" w:sz="0"/>
        </w:tblBorders>
      </w:tblPr>
      <w:tblGrid>
        <w:gridCol w:w="9360"/>
      </w:tblGrid>
      <w:tr>
        <w:tc>
          <w:tcPr>
            <w:shd w:fill="FDF6EE" w:color="auto" w:val="clear"/>
            <w:tcMar>
              <w:top w:type="dxa" w:w="120"/>
              <w:left w:type="dxa" w:w="220"/>
              <w:bottom w:type="dxa" w:w="120"/>
              <w:right w:type="dxa" w:w="220"/>
            </w:tcMar>
          </w:tcPr>
          <w:p>
            <w:r>
              <w:rPr>
                <w:rFonts w:ascii="Georgia" w:cs="Georgia" w:eastAsia="Georgia" w:hAnsi="Georgia"/>
                <w:b w:val="false"/>
                <w:bCs w:val="false"/>
                <w:i/>
                <w:iCs/>
                <w:color w:val="2A2320"/>
                <w:sz w:val="21"/>
                <w:szCs w:val="21"/>
              </w:rPr>
              <w:t xml:space="preserve">In accordance with Article 7.5 of the Articles of Association, board members receive no remuneration (salary or vacation pay) for their work. They are only entitled to reimbursement of reasonably incurred expenses upon presentation of proof.</w:t>
            </w:r>
          </w:p>
        </w:tc>
      </w:tr>
    </w:tbl>
    <w:p>
      <w:pPr>
        <w:pBdr>
          <w:bottom w:val="single" w:color="E01010" w:sz="6"/>
        </w:pBdr>
        <w:spacing w:after="100" w:before="260"/>
      </w:pPr>
      <w:r>
        <w:rPr>
          <w:rFonts w:ascii="Montserrat" w:cs="Montserrat" w:eastAsia="Montserrat" w:hAnsi="Montserrat"/>
          <w:b/>
          <w:bCs/>
          <w:caps/>
          <w:color w:val="E01010"/>
          <w:spacing w:val="10"/>
          <w:sz w:val="24"/>
          <w:szCs w:val="24"/>
        </w:rPr>
        <w:t xml:space="preserve">10. Transparency &amp; publication</w:t>
      </w:r>
    </w:p>
    <w:p>
      <w:pPr>
        <w:spacing w:after="120" w:line="276"/>
        <w:jc w:val="left"/>
      </w:pPr>
      <w:r>
        <w:rPr>
          <w:rFonts w:ascii="Georgia" w:cs="Georgia" w:eastAsia="Georgia" w:hAnsi="Georgia"/>
          <w:b w:val="false"/>
          <w:bCs w:val="false"/>
          <w:i w:val="false"/>
          <w:iCs w:val="false"/>
          <w:color w:val="2A2320"/>
          <w:sz w:val="21"/>
          <w:szCs w:val="21"/>
        </w:rPr>
        <w:t xml:space="preserve">The Foundation publishes the following on its website (heartsforchange.online):</w:t>
      </w:r>
    </w:p>
    <w:p>
      <w:pPr>
        <w:pStyle w:val="ListParagraph"/>
        <w:numPr>
          <w:ilvl w:val="0"/>
          <w:numId w:val="1"/>
        </w:numPr>
        <w:spacing w:after="60" w:line="268"/>
      </w:pPr>
      <w:r>
        <w:rPr>
          <w:rFonts w:ascii="Georgia" w:cs="Georgia" w:eastAsia="Georgia" w:hAnsi="Georgia"/>
          <w:color w:val="2A2320"/>
          <w:sz w:val="21"/>
          <w:szCs w:val="21"/>
        </w:rPr>
        <w:t xml:space="preserve">Statutory objective and Policy Plan</w:t>
      </w:r>
    </w:p>
    <w:p>
      <w:pPr>
        <w:pStyle w:val="ListParagraph"/>
        <w:numPr>
          <w:ilvl w:val="0"/>
          <w:numId w:val="1"/>
        </w:numPr>
        <w:spacing w:after="60" w:line="268"/>
      </w:pPr>
      <w:r>
        <w:rPr>
          <w:rFonts w:ascii="Georgia" w:cs="Georgia" w:eastAsia="Georgia" w:hAnsi="Georgia"/>
          <w:color w:val="2A2320"/>
          <w:sz w:val="21"/>
          <w:szCs w:val="21"/>
        </w:rPr>
        <w:t xml:space="preserve">Board names and remuneration policy</w:t>
      </w:r>
    </w:p>
    <w:p>
      <w:pPr>
        <w:pStyle w:val="ListParagraph"/>
        <w:numPr>
          <w:ilvl w:val="0"/>
          <w:numId w:val="1"/>
        </w:numPr>
        <w:spacing w:after="60" w:line="268"/>
      </w:pPr>
      <w:r>
        <w:rPr>
          <w:rFonts w:ascii="Georgia" w:cs="Georgia" w:eastAsia="Georgia" w:hAnsi="Georgia"/>
          <w:color w:val="2A2320"/>
          <w:sz w:val="21"/>
          <w:szCs w:val="21"/>
        </w:rPr>
        <w:t xml:space="preserve">Current Report of Activities</w:t>
      </w:r>
    </w:p>
    <w:p>
      <w:pPr>
        <w:pStyle w:val="ListParagraph"/>
        <w:numPr>
          <w:ilvl w:val="0"/>
          <w:numId w:val="1"/>
        </w:numPr>
        <w:spacing w:after="60" w:line="268"/>
      </w:pPr>
      <w:r>
        <w:rPr>
          <w:rFonts w:ascii="Georgia" w:cs="Georgia" w:eastAsia="Georgia" w:hAnsi="Georgia"/>
          <w:color w:val="2A2320"/>
          <w:sz w:val="21"/>
          <w:szCs w:val="21"/>
        </w:rPr>
        <w:t xml:space="preserve">Financial accountability (Startbalans / Budget)</w:t>
      </w:r>
    </w:p>
    <w:p>
      <w:pPr>
        <w:pStyle w:val="ListParagraph"/>
        <w:numPr>
          <w:ilvl w:val="0"/>
          <w:numId w:val="1"/>
        </w:numPr>
        <w:spacing w:after="60" w:line="268"/>
      </w:pPr>
      <w:r>
        <w:rPr>
          <w:rFonts w:ascii="Georgia" w:cs="Georgia" w:eastAsia="Georgia" w:hAnsi="Georgia"/>
          <w:color w:val="2A2320"/>
          <w:sz w:val="21"/>
          <w:szCs w:val="21"/>
        </w:rPr>
        <w:t xml:space="preserve">Huishoudelijk Reglement (Internal Regulations)</w:t>
      </w:r>
    </w:p>
    <w:p>
      <w:pPr>
        <w:spacing w:after="160"/>
      </w:pPr>
    </w:p>
    <w:p>
      <w:pPr>
        <w:pBdr>
          <w:top w:val="single" w:color="D8CFC4" w:sz="4"/>
        </w:pBdr>
        <w:spacing w:before="120"/>
        <w:jc w:val="center"/>
      </w:pPr>
      <w:r>
        <w:rPr>
          <w:rFonts w:ascii="Montserrat" w:cs="Montserrat" w:eastAsia="Montserrat" w:hAnsi="Montserrat"/>
          <w:color w:val="905030"/>
          <w:spacing w:val="6"/>
          <w:sz w:val="16"/>
          <w:szCs w:val="16"/>
        </w:rPr>
        <w:t xml:space="preserve">Stichting Hearts for Change  ·  KvK 98920685  ·  Amsterdam, Netherlands  ·  heartsforchange.online</w:t>
      </w:r>
    </w:p>
    <w:sectPr>
      <w:pgSz w:w="11906" w:h="16838" w:orient="portrait"/>
      <w:pgMar w:top="900" w:right="1040" w:bottom="800" w:left="10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rPr>
        <w:color w:val="E01010"/>
      </w:rPr>
    </w:lvl>
    <w:lvl w:ilvl="1" w15:tentative="1">
      <w:start w:val="1"/>
      <w:numFmt w:val="bullet"/>
      <w:lvlText w:val="–"/>
      <w:lvlJc w:val="left"/>
      <w:pPr>
        <w:ind w:left="720" w:hanging="20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2A2320"/>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2026-07-22T21:31:01.571Z</dcterms:created>
  <dcterms:modified xsi:type="dcterms:W3CDTF">2026-07-22T21:31:01.587Z</dcterms:modified>
</cp:coreProperties>
</file>

<file path=docProps/custom.xml><?xml version="1.0" encoding="utf-8"?>
<Properties xmlns="http://schemas.openxmlformats.org/officeDocument/2006/custom-properties" xmlns:vt="http://schemas.openxmlformats.org/officeDocument/2006/docPropsVTypes"/>
</file>